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 SHEET</w:t>
      </w:r>
    </w:p>
    <w:p>
      <w:pPr>
        <w:jc w:val="center"/>
      </w:pPr>
      <w:r>
        <w:t>NON-BINDING TERM SHEET FOR SERIES A PREFERRED STOCK FINANCING</w:t>
        <w:br/>
        <w:t>Date: January 15, 2026</w:t>
        <w:br/>
        <w:t>CONFIDENTIAL</w:t>
      </w:r>
    </w:p>
    <w:p/>
    <w:p>
      <w:pPr>
        <w:pStyle w:val="Heading1"/>
      </w:pPr>
      <w:r>
        <w:t>1. PARTIES</w:t>
      </w:r>
    </w:p>
    <w:p>
      <w:r>
        <w:t>1.1 Company: NexaFlow Technologies Private Limited ("Company"), a company incorporated under the Companies Act, 2013, having its registered office at WeWork Galaxy, #43, Residency Road, Bangalore 560025, Karnataka, India.</w:t>
      </w:r>
    </w:p>
    <w:p>
      <w:r>
        <w:t>1.2 Founders: Mr. Arjun Mehta (CEO &amp; Co-Founder, holding 42% of equity) and Ms. Priya Sharma (CTO &amp; Co-Founder, holding 38% of equity).</w:t>
      </w:r>
    </w:p>
    <w:p>
      <w:r>
        <w:t>1.3 Investors: Pinnacle Ventures Fund II ("Lead Investor"), contributing INR 30,00,00,000 (INR 30 Crores); and Horizon Capital Partners ("Co-Investor"), contributing INR 10,00,00,000 (INR 10 Crores). Together referred to as "Investors".</w:t>
      </w:r>
    </w:p>
    <w:p>
      <w:pPr>
        <w:pStyle w:val="Heading1"/>
      </w:pPr>
      <w:r>
        <w:t>2. INVESTMENT TERMS</w:t>
      </w:r>
    </w:p>
    <w:p>
      <w:r>
        <w:t>2.1 Investment Amount: The Investors shall collectively invest INR 40,00,00,000 (INR 40 Crores / approximately USD 4.8 Million) in the Company by way of subscription to Series A Compulsorily Convertible Preference Shares ("Series A CCPS").</w:t>
      </w:r>
    </w:p>
    <w:p>
      <w:r>
        <w:t>2.2 Pre-Money Valuation: The pre-money valuation of the Company shall be INR 120,00,00,000 (INR 120 Crores / approximately USD 14.4 Million), on a fully diluted basis.</w:t>
      </w:r>
    </w:p>
    <w:p>
      <w:r>
        <w:t>2.3 Post-Money Valuation: INR 160,00,00,000 (INR 160 Crores), giving the Investors collectively 25% ownership on a fully diluted basis.</w:t>
      </w:r>
    </w:p>
    <w:p>
      <w:r>
        <w:t>2.4 Price Per Share: INR 4,800 per Series A CCPS, determined by dividing the pre-money valuation by the total fully diluted share count.</w:t>
      </w:r>
    </w:p>
    <w:p>
      <w:r>
        <w:t>2.5 Use of Proceeds: The investment proceeds shall be utilized for: (a) product development and engineering (40%); (b) sales and marketing expansion (30%); (c) hiring key personnel (20%); and (d) general working capital (10%). Any deviation exceeding 15% from the above allocation requires prior written consent of the Lead Investor.</w:t>
      </w:r>
    </w:p>
    <w:p>
      <w:pPr>
        <w:pStyle w:val="Heading1"/>
      </w:pPr>
      <w:r>
        <w:t>3. EMPLOYEE STOCK OPTION POOL</w:t>
      </w:r>
    </w:p>
    <w:p>
      <w:r>
        <w:t>3.1 The Company shall expand its Employee Stock Option Pool ("ESOP Pool") to 12% of the fully diluted share capital, to be created entirely from the Founders' shareholding prior to the investment. The ESOP Pool expansion shall be completed before the Closing Date.</w:t>
      </w:r>
    </w:p>
    <w:p>
      <w:r>
        <w:t>3.2 Any issuance of options exceeding 2% of the ESOP Pool to a single employee shall require the prior approval of the Board, including the affirmative vote of the Investor Director.</w:t>
      </w:r>
    </w:p>
    <w:p>
      <w:pPr>
        <w:pStyle w:val="Heading1"/>
      </w:pPr>
      <w:r>
        <w:t>4. BOARD OF DIRECTORS</w:t>
      </w:r>
    </w:p>
    <w:p>
      <w:r>
        <w:t>4.1 Composition: The Board shall consist of five (5) directors: (a) two (2) nominees of the Founders; (b) two (2) nominees of the Lead Investor; and (c) one (1) independent director mutually agreed by the Founders and the Lead Investor.</w:t>
      </w:r>
    </w:p>
    <w:p>
      <w:r>
        <w:t>4.2 Board Observer: The Co-Investor shall have the right to appoint one (1) observer to the Board who shall receive all Board materials and attend all meetings but shall not have voting rights.</w:t>
      </w:r>
    </w:p>
    <w:p>
      <w:r>
        <w:t>4.3 Quorum: The quorum for a Board meeting shall be three (3) directors, which must include at least one (1) Investor Director. No Board meeting shall be validly constituted without the presence of an Investor Director.</w:t>
      </w:r>
    </w:p>
    <w:p>
      <w:r>
        <w:t>4.4 Chairman: The Chairman of the Board shall be nominated by the Lead Investor. The Chairman shall have a casting vote in the event of a deadlock.</w:t>
      </w:r>
    </w:p>
    <w:p>
      <w:pPr>
        <w:pStyle w:val="Heading1"/>
      </w:pPr>
      <w:r>
        <w:t>5. PROTECTIVE PROVISIONS (VETO RIGHTS)</w:t>
      </w:r>
    </w:p>
    <w:p>
      <w:r>
        <w:t>5.1 The following actions shall require the prior written consent of the Lead Investor (or the affirmative vote of the Investor Directors at a Board meeting):</w:t>
      </w:r>
    </w:p>
    <w:p>
      <w:r>
        <w:t>(a) Any amendment to the Memorandum of Association or Articles of Association;</w:t>
        <w:br/>
        <w:t>(b) Issuance of any new securities, including convertible instruments, ESOP grants, or warrants;</w:t>
        <w:br/>
        <w:t>(c) Declaration or payment of any dividend;</w:t>
        <w:br/>
        <w:t>(d) Any borrowing or incurrence of indebtedness exceeding INR 50,00,000 (INR 50 Lakhs);</w:t>
        <w:br/>
        <w:t>(e) Any acquisition, merger, amalgamation, or corporate restructuring;</w:t>
        <w:br/>
        <w:t>(f) Any related party transaction;</w:t>
        <w:br/>
        <w:t>(g) Appointment or removal of the CEO, CTO, CFO, or any C-suite executive;</w:t>
        <w:br/>
        <w:t>(h) Approval of the annual budget and any expenditure exceeding INR 25,00,000 (INR 25 Lakhs) outside the approved budget;</w:t>
        <w:br/>
        <w:t>(i) Change in the nature of business;</w:t>
        <w:br/>
        <w:t>(j) Commencement or settlement of any litigation involving amounts exceeding INR 10,00,000;</w:t>
        <w:br/>
        <w:t>(k) Any transaction with Founders or their affiliates;</w:t>
        <w:br/>
        <w:t>(l) Any increase in Founder compensation or benefits;</w:t>
        <w:br/>
        <w:t>(m) Creation of any subsidiary or joint venture;</w:t>
        <w:br/>
        <w:t>(n) Winding up, dissolution, or filing for insolvency.</w:t>
      </w:r>
    </w:p>
    <w:p>
      <w:pPr>
        <w:pStyle w:val="Heading1"/>
      </w:pPr>
      <w:r>
        <w:t>6. ANTI-DILUTION PROTECTION</w:t>
      </w:r>
    </w:p>
    <w:p>
      <w:r>
        <w:t>6.1 Full Ratchet: In the event the Company issues any new shares at a price per share lower than the Series A Price Per Share (a "Down Round"), the conversion price of the Series A CCPS shall be adjusted downward to the price per share in such Down Round (full ratchet anti-dilution protection), regardless of the number of shares issued in such Down Round.</w:t>
      </w:r>
    </w:p>
    <w:p>
      <w:r>
        <w:t>6.2 Pay-to-Play: Any Investor who does not participate in a subsequent financing round on a pro-rata basis shall lose their anti-dilution protection for such round and all future rounds, and their Series A CCPS shall automatically convert to equity shares.</w:t>
      </w:r>
    </w:p>
    <w:p>
      <w:pPr>
        <w:pStyle w:val="Heading1"/>
      </w:pPr>
      <w:r>
        <w:t>7. LIQUIDATION PREFERENCE</w:t>
      </w:r>
    </w:p>
    <w:p>
      <w:r>
        <w:t>7.1 In the event of any Liquidation Event (as defined in Clause 7.3), the holders of Series A CCPS shall be entitled to receive, in preference to the holders of equity shares, an amount equal to 1.5x (one and a half times) the original investment amount plus any declared but unpaid dividends (the "Liquidation Preference").</w:t>
      </w:r>
    </w:p>
    <w:p>
      <w:r>
        <w:t>7.2 Participation: After payment of the Liquidation Preference, the holders of Series A CCPS shall participate pro-rata with the holders of equity shares in the distribution of remaining assets on an as-converted basis (participating preferred).</w:t>
      </w:r>
    </w:p>
    <w:p>
      <w:r>
        <w:t>7.3 Deemed Liquidation Events: The following shall be treated as Liquidation Events, unless waived by the Lead Investor: (a) any acquisition, merger, or change of control; (b) sale of all or substantially all assets; (c) exclusive licensing of all or substantially all intellectual property; (d) any transaction resulting in the Founders collectively holding less than 25% of the voting power.</w:t>
      </w:r>
    </w:p>
    <w:p>
      <w:pPr>
        <w:pStyle w:val="Heading1"/>
      </w:pPr>
      <w:r>
        <w:t>8. TRANSFER RESTRICTIONS AND EXIT</w:t>
      </w:r>
    </w:p>
    <w:p>
      <w:r>
        <w:t>8.1 Lock-in: The Founders shall not transfer, sell, pledge, or otherwise dispose of any of their shares for a period of four (4) years from the Closing Date ("Lock-in Period"). Transfers to immediate family members or family trusts shall be permitted with prior written consent of the Lead Investor.</w:t>
      </w:r>
    </w:p>
    <w:p>
      <w:r>
        <w:t>8.2 Right of First Refusal: After the Lock-in Period, any proposed transfer by the Founders shall be subject to a right of first refusal in favor of the Investors, who shall have 30 days to match any third-party offer.</w:t>
      </w:r>
    </w:p>
    <w:p>
      <w:r>
        <w:t>8.3 Tag-Along Right: If the Founders propose to sell more than 10% of their shareholding to a third party, the Investors shall have the right to participate in such sale on the same terms and conditions, pro-rata to their shareholding.</w:t>
      </w:r>
    </w:p>
    <w:p>
      <w:r>
        <w:t>8.4 Drag-Along Right: If holders of more than 50% of the shares (on a fully diluted basis) approve a sale of the Company, all other shareholders shall be obligated to participate in such sale on the same terms and conditions. The drag-along right shall not apply to any transaction that values the Company at less than 3x the post-money valuation.</w:t>
      </w:r>
    </w:p>
    <w:p>
      <w:pPr>
        <w:pStyle w:val="Heading1"/>
      </w:pPr>
      <w:r>
        <w:t>9. FOUNDER OBLIGATIONS</w:t>
      </w:r>
    </w:p>
    <w:p>
      <w:r>
        <w:t>9.1 Full-Time Commitment: Each Founder shall devote 100% of their professional time and effort to the Company. No Founder shall engage in any other business activity, whether as an employee, consultant, advisor, or board member, without the prior written consent of the Board (including the affirmative vote of the Investor Director).</w:t>
      </w:r>
    </w:p>
    <w:p>
      <w:r>
        <w:t>9.2 Non-Compete: During the term of employment and for a period of three (3) years following termination for any reason, each Founder shall not, directly or indirectly, engage in any business that competes with the business of the Company within India and Southeast Asia.</w:t>
      </w:r>
    </w:p>
    <w:p>
      <w:r>
        <w:t>9.3 Non-Solicitation: During the term of employment and for a period of two (2) years following termination, each Founder shall not solicit any employee, customer, or supplier of the Company.</w:t>
      </w:r>
    </w:p>
    <w:p>
      <w:r>
        <w:t>9.4 Vesting: Each Founder's shares shall be subject to reverse vesting over a period of four (4) years, with a one (1) year cliff. Upon termination for cause, all unvested shares shall be forfeited. Upon termination without cause or constructive termination, 50% of unvested shares shall immediately vest.</w:t>
      </w:r>
    </w:p>
    <w:p>
      <w:r>
        <w:t>9.5 IP Assignment: All intellectual property created by the Founders during the term of employment shall be the exclusive property of the Company. Each Founder shall execute all documents necessary to effectuate such assignment.</w:t>
      </w:r>
    </w:p>
    <w:p>
      <w:pPr>
        <w:pStyle w:val="Heading1"/>
      </w:pPr>
      <w:r>
        <w:t>10. INFORMATION RIGHTS</w:t>
      </w:r>
    </w:p>
    <w:p>
      <w:r>
        <w:t>10.1 The Company shall provide the Lead Investor with: (a) unaudited monthly financial statements within 15 days of month-end; (b) quarterly board packages including management commentary, KPI dashboard, and cash flow projections; (c) audited annual financial statements within 90 days of financial year-end; (d) annual budget and business plan for approval before the start of each financial year.</w:t>
      </w:r>
    </w:p>
    <w:p>
      <w:r>
        <w:t>10.2 Inspection Rights: The Investors and their representatives shall have the right to inspect the books, records, and facilities of the Company at any time upon 48 hours' notice.</w:t>
      </w:r>
    </w:p>
    <w:p>
      <w:pPr>
        <w:pStyle w:val="Heading1"/>
      </w:pPr>
      <w:r>
        <w:t>11. CONDITIONS PRECEDENT TO CLOSING</w:t>
      </w:r>
    </w:p>
    <w:p>
      <w:r>
        <w:t>11.1 The obligations of the Investors to complete the investment shall be subject to: (a) satisfactory completion of legal, financial, and technical due diligence; (b) execution of definitive agreements (SHA, SSA, and amended Articles); (c) all regulatory approvals and filings; (d) no Material Adverse Change in the Company's business; (e) Founders' representations and warranties being true and accurate at Closing; (f) ESOP Pool expansion completed; (g) all existing shareholder consents obtained.</w:t>
      </w:r>
    </w:p>
    <w:p>
      <w:pPr>
        <w:pStyle w:val="Heading1"/>
      </w:pPr>
      <w:r>
        <w:t>12. EXCLUSIVITY AND CONFIDENTIALITY</w:t>
      </w:r>
    </w:p>
    <w:p>
      <w:r>
        <w:t>12.1 Exclusivity Period: From the date of this Term Sheet until 90 days thereafter (the "Exclusivity Period"), the Company and the Founders shall not, directly or indirectly, solicit, encourage, negotiate, or enter into any agreement with any other party regarding any equity financing, debt financing, acquisition, or similar transaction.</w:t>
      </w:r>
    </w:p>
    <w:p>
      <w:r>
        <w:t>12.2 Break Fee: If the Company or the Founders breach the exclusivity provisions or terminate negotiations during the Exclusivity Period to pursue an alternative transaction, the Company shall pay the Lead Investor a break fee equal to 2% of the investment amount (INR 80,00,000).</w:t>
      </w:r>
    </w:p>
    <w:p>
      <w:r>
        <w:t>12.3 Confidentiality: This Term Sheet and all related discussions and materials shall be treated as strictly confidential by all parties.</w:t>
      </w:r>
    </w:p>
    <w:p>
      <w:pPr>
        <w:pStyle w:val="Heading1"/>
      </w:pPr>
      <w:r>
        <w:t>13. GOVERNING LAW AND DISPUTE RESOLUTION</w:t>
      </w:r>
    </w:p>
    <w:p>
      <w:r>
        <w:t>13.1 This Term Sheet shall be governed by and construed in accordance with the laws of India.</w:t>
      </w:r>
    </w:p>
    <w:p>
      <w:r>
        <w:t>13.2 Any dispute arising out of or in connection with this Term Sheet shall be resolved by arbitration under the rules of the Mumbai Centre for International Arbitration (MCIA), with the seat of arbitration in Mumbai.</w:t>
      </w:r>
    </w:p>
    <w:p>
      <w:pPr>
        <w:pStyle w:val="Heading1"/>
      </w:pPr>
      <w:r>
        <w:t>14. BINDING NATURE</w:t>
      </w:r>
    </w:p>
    <w:p>
      <w:r>
        <w:t>14.1 This Term Sheet is non-binding and does not create any legal obligation on any party, except for Clauses 12 (Exclusivity and Confidentiality) and 13 (Governing Law), which shall be legally binding upon execution.</w:t>
      </w:r>
    </w:p>
    <w:p/>
    <w:p>
      <w:r>
        <w:t>For and on behalf of NexaFlow Technologies Private Limited:</w:t>
      </w:r>
    </w:p>
    <w:p>
      <w:r>
        <w:t>_________________________</w:t>
      </w:r>
    </w:p>
    <w:p>
      <w:r>
        <w:t>Mr. Arjun Mehta, CEO &amp; Co-Founder</w:t>
      </w:r>
    </w:p>
    <w:p/>
    <w:p>
      <w:r>
        <w:t>For and on behalf of Pinnacle Ventures Fund II:</w:t>
      </w:r>
    </w:p>
    <w:p>
      <w:r>
        <w:t>_________________________</w:t>
      </w:r>
    </w:p>
    <w:p>
      <w:r>
        <w:t>Authorized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