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8F1B">
      <w:pPr>
        <w:rPr>
          <w:rFonts w:hint="eastAsia"/>
          <w:sz w:val="28"/>
        </w:rPr>
      </w:pPr>
    </w:p>
    <w:p w14:paraId="00776C64">
      <w:pPr>
        <w:jc w:val="center"/>
        <w:rPr>
          <w:rFonts w:hint="eastAsia" w:eastAsia="华文行楷"/>
          <w:b/>
          <w:sz w:val="72"/>
        </w:rPr>
      </w:pPr>
      <w:r>
        <w:rPr>
          <w:rFonts w:hint="eastAsia" w:eastAsia="华文行楷"/>
          <w:b/>
          <w:sz w:val="72"/>
        </w:rPr>
        <w:t>深 圳 大 学</w:t>
      </w:r>
    </w:p>
    <w:p w14:paraId="59CD8E96">
      <w:pPr>
        <w:jc w:val="center"/>
        <w:rPr>
          <w:rFonts w:hint="eastAsia" w:eastAsia="黑体"/>
          <w:sz w:val="48"/>
        </w:rPr>
      </w:pPr>
      <w:r>
        <w:rPr>
          <w:rFonts w:hint="eastAsia" w:eastAsia="黑体"/>
          <w:sz w:val="48"/>
        </w:rPr>
        <w:t>本 科 毕 业 论 文（设计）</w:t>
      </w:r>
    </w:p>
    <w:p w14:paraId="392BDB1A">
      <w:pPr>
        <w:jc w:val="center"/>
        <w:rPr>
          <w:rFonts w:hint="eastAsia"/>
          <w:sz w:val="32"/>
        </w:rPr>
      </w:pPr>
    </w:p>
    <w:p w14:paraId="1D6B9A15">
      <w:pPr>
        <w:jc w:val="left"/>
        <w:rPr>
          <w:rFonts w:hint="eastAsia"/>
          <w:sz w:val="32"/>
        </w:rPr>
      </w:pPr>
    </w:p>
    <w:p w14:paraId="C0FE0006">
      <w:pPr>
        <w:keepNext w:val="0"/>
        <w:keepLines w:val="0"/>
        <w:pageBreakBefore w:val="0"/>
        <w:widowControl/>
        <w:kinsoku/>
        <w:wordWrap/>
        <w:overflowPunct/>
        <w:topLinePunct w:val="0"/>
        <w:autoSpaceDE/>
        <w:autoSpaceDN/>
        <w:bidi w:val="0"/>
        <w:adjustRightInd/>
        <w:snapToGrid/>
        <w:spacing w:before="100" w:after="0" w:line="480" w:lineRule="auto"/>
        <w:ind w:left="630" w:leftChars="300"/>
        <w:jc w:val="left"/>
        <w:textAlignment w:val="auto"/>
      </w:pPr>
      <w:r>
        <w:rPr>
          <w:rFonts w:hint="eastAsia" w:ascii="黑体" w:eastAsia="黑体" w:cs="Times New Roman"/>
          <w:kern w:val="2"/>
          <w:sz w:val="32"/>
          <w:szCs w:val="24"/>
          <w:lang w:val="en-US" w:eastAsia="zh-CN" w:bidi="ar-SA"/>
        </w:rPr>
        <w:t>题目：</w:t>
      </w:r>
      <w:r>
        <w:rPr>
          <w:rFonts w:ascii="Times New Roman" w:hAnsi="Times New Roman" w:eastAsia="楷体"/>
          <w:b/>
          <w:bCs/>
          <w:sz w:val="32"/>
          <w:szCs w:val="32"/>
          <w:u w:val="single"/>
        </w:rPr>
        <w:t xml:space="preserve"> 知道与使用：AI素养与AI新闻接触经验对受众AI新闻信任的影响机制研究 </w:t>
      </w:r>
    </w:p>
    <w:p w14:paraId="C0FE0008">
      <w:pPr>
        <w:keepNext w:val="0"/>
        <w:keepLines w:val="0"/>
        <w:pageBreakBefore w:val="0"/>
        <w:widowControl/>
        <w:kinsoku/>
        <w:wordWrap/>
        <w:overflowPunct/>
        <w:topLinePunct w:val="0"/>
        <w:autoSpaceDE/>
        <w:autoSpaceDN/>
        <w:bidi w:val="0"/>
        <w:adjustRightInd/>
        <w:snapToGrid/>
        <w:spacing w:before="100" w:after="100" w:line="480" w:lineRule="auto"/>
        <w:ind w:left="630" w:leftChars="300"/>
        <w:jc w:val="left"/>
        <w:textAlignment w:val="auto"/>
      </w:pPr>
      <w:r>
        <w:rPr>
          <w:rFonts w:hint="eastAsia" w:ascii="黑体" w:eastAsia="黑体" w:cs="Times New Roman"/>
          <w:kern w:val="2"/>
          <w:sz w:val="32"/>
          <w:szCs w:val="24"/>
          <w:lang w:val="en-US" w:eastAsia="zh-CN" w:bidi="ar-SA"/>
        </w:rPr>
        <w:t>姓名：</w:t>
      </w:r>
      <w:r>
        <w:rPr>
          <w:rFonts w:ascii="Times New Roman" w:hAnsi="Times New Roman" w:eastAsia="楷体"/>
          <w:b/>
          <w:bCs/>
          <w:sz w:val="32"/>
          <w:szCs w:val="32"/>
          <w:u w:val="single"/>
        </w:rPr>
        <w:t xml:space="preserve">   陈向欢               </w:t>
      </w:r>
    </w:p>
    <w:p w14:paraId="C0FE0009">
      <w:pPr>
        <w:keepNext w:val="0"/>
        <w:keepLines w:val="0"/>
        <w:pageBreakBefore w:val="0"/>
        <w:widowControl/>
        <w:kinsoku/>
        <w:wordWrap/>
        <w:overflowPunct/>
        <w:topLinePunct w:val="0"/>
        <w:autoSpaceDE/>
        <w:autoSpaceDN/>
        <w:bidi w:val="0"/>
        <w:adjustRightInd/>
        <w:snapToGrid/>
        <w:spacing w:before="100" w:after="100" w:line="480" w:lineRule="auto"/>
        <w:ind w:left="630" w:leftChars="300"/>
        <w:jc w:val="left"/>
        <w:textAlignment w:val="auto"/>
      </w:pPr>
      <w:r>
        <w:rPr>
          <w:rFonts w:hint="eastAsia" w:ascii="黑体" w:eastAsia="黑体" w:cs="Times New Roman"/>
          <w:kern w:val="2"/>
          <w:sz w:val="32"/>
          <w:szCs w:val="24"/>
          <w:lang w:val="en-US" w:eastAsia="zh-CN" w:bidi="ar-SA"/>
        </w:rPr>
        <w:t>专业：</w:t>
      </w:r>
      <w:r>
        <w:rPr>
          <w:rFonts w:ascii="Times New Roman" w:hAnsi="Times New Roman" w:eastAsia="楷体"/>
          <w:b/>
          <w:bCs/>
          <w:sz w:val="32"/>
          <w:szCs w:val="32"/>
          <w:u w:val="single"/>
        </w:rPr>
        <w:t xml:space="preserve">    新闻学               </w:t>
      </w:r>
    </w:p>
    <w:p w14:paraId="C0FE000A">
      <w:pPr>
        <w:keepNext w:val="0"/>
        <w:keepLines w:val="0"/>
        <w:pageBreakBefore w:val="0"/>
        <w:widowControl/>
        <w:kinsoku/>
        <w:wordWrap/>
        <w:overflowPunct/>
        <w:topLinePunct w:val="0"/>
        <w:autoSpaceDE/>
        <w:autoSpaceDN/>
        <w:bidi w:val="0"/>
        <w:adjustRightInd/>
        <w:snapToGrid/>
        <w:spacing w:before="100" w:after="100" w:line="480" w:lineRule="auto"/>
        <w:ind w:left="630" w:leftChars="300"/>
        <w:jc w:val="left"/>
        <w:textAlignment w:val="auto"/>
      </w:pPr>
      <w:r>
        <w:rPr>
          <w:rFonts w:hint="eastAsia" w:ascii="黑体" w:eastAsia="黑体" w:cs="Times New Roman"/>
          <w:kern w:val="2"/>
          <w:sz w:val="32"/>
          <w:szCs w:val="24"/>
          <w:lang w:val="en-US" w:eastAsia="zh-CN" w:bidi="ar-SA"/>
        </w:rPr>
        <w:t>学院：</w:t>
      </w:r>
      <w:r>
        <w:rPr>
          <w:rFonts w:ascii="Times New Roman" w:hAnsi="Times New Roman" w:eastAsia="楷体"/>
          <w:b/>
          <w:bCs/>
          <w:sz w:val="32"/>
          <w:szCs w:val="32"/>
          <w:u w:val="single"/>
        </w:rPr>
        <w:t xml:space="preserve">    传播学院               </w:t>
      </w:r>
    </w:p>
    <w:p w14:paraId="C0FE000B">
      <w:pPr>
        <w:keepNext w:val="0"/>
        <w:keepLines w:val="0"/>
        <w:pageBreakBefore w:val="0"/>
        <w:widowControl/>
        <w:kinsoku/>
        <w:wordWrap/>
        <w:overflowPunct/>
        <w:topLinePunct w:val="0"/>
        <w:autoSpaceDE/>
        <w:autoSpaceDN/>
        <w:bidi w:val="0"/>
        <w:adjustRightInd/>
        <w:snapToGrid/>
        <w:spacing w:before="100" w:after="100" w:line="480" w:lineRule="auto"/>
        <w:ind w:left="630" w:leftChars="300"/>
        <w:jc w:val="left"/>
        <w:textAlignment w:val="auto"/>
      </w:pPr>
      <w:r>
        <w:rPr>
          <w:rFonts w:hint="eastAsia" w:ascii="黑体" w:eastAsia="黑体" w:cs="Times New Roman"/>
          <w:kern w:val="2"/>
          <w:sz w:val="32"/>
          <w:szCs w:val="24"/>
          <w:lang w:val="en-US" w:eastAsia="zh-CN" w:bidi="ar-SA"/>
        </w:rPr>
        <w:t>学号：</w:t>
      </w:r>
      <w:r>
        <w:rPr>
          <w:rFonts w:ascii="Times New Roman" w:hAnsi="Times New Roman" w:eastAsia="楷体"/>
          <w:b/>
          <w:bCs/>
          <w:sz w:val="32"/>
          <w:szCs w:val="32"/>
          <w:u w:val="single"/>
        </w:rPr>
        <w:t xml:space="preserve">      2021080256               </w:t>
      </w:r>
    </w:p>
    <w:p w14:paraId="C0FE000C">
      <w:pPr>
        <w:keepNext w:val="0"/>
        <w:keepLines w:val="0"/>
        <w:pageBreakBefore w:val="0"/>
        <w:widowControl/>
        <w:kinsoku/>
        <w:wordWrap/>
        <w:overflowPunct/>
        <w:topLinePunct w:val="0"/>
        <w:autoSpaceDE/>
        <w:autoSpaceDN/>
        <w:bidi w:val="0"/>
        <w:adjustRightInd/>
        <w:snapToGrid/>
        <w:spacing w:before="100" w:after="100" w:line="480" w:lineRule="auto"/>
        <w:ind w:left="630" w:leftChars="300"/>
        <w:jc w:val="left"/>
        <w:textAlignment w:val="auto"/>
      </w:pPr>
      <w:r>
        <w:rPr>
          <w:rFonts w:hint="eastAsia" w:ascii="黑体" w:eastAsia="黑体" w:cs="Times New Roman"/>
          <w:kern w:val="2"/>
          <w:sz w:val="32"/>
          <w:szCs w:val="24"/>
          <w:lang w:val="en-US" w:eastAsia="zh-CN" w:bidi="ar-SA"/>
        </w:rPr>
        <w:t>指导教师：</w:t>
      </w:r>
      <w:r>
        <w:rPr>
          <w:rFonts w:ascii="Times New Roman" w:hAnsi="Times New Roman" w:eastAsia="楷体"/>
          <w:b/>
          <w:bCs/>
          <w:sz w:val="32"/>
          <w:szCs w:val="32"/>
          <w:u w:val="single"/>
        </w:rPr>
        <w:t xml:space="preserve">   虞鑫               </w:t>
      </w:r>
    </w:p>
    <w:p w14:paraId="C0FE000D">
      <w:pPr>
        <w:keepNext w:val="0"/>
        <w:keepLines w:val="0"/>
        <w:pageBreakBefore w:val="0"/>
        <w:widowControl/>
        <w:kinsoku/>
        <w:wordWrap/>
        <w:overflowPunct/>
        <w:topLinePunct w:val="0"/>
        <w:autoSpaceDE/>
        <w:autoSpaceDN/>
        <w:bidi w:val="0"/>
        <w:adjustRightInd/>
        <w:snapToGrid/>
        <w:spacing w:before="100" w:after="100" w:line="480" w:lineRule="auto"/>
        <w:ind w:left="630" w:leftChars="300"/>
        <w:jc w:val="left"/>
        <w:textAlignment w:val="auto"/>
      </w:pPr>
      <w:r>
        <w:rPr>
          <w:rFonts w:hint="eastAsia" w:ascii="黑体" w:eastAsia="黑体" w:cs="Times New Roman"/>
          <w:kern w:val="2"/>
          <w:sz w:val="32"/>
          <w:szCs w:val="24"/>
          <w:lang w:val="en-US" w:eastAsia="zh-CN" w:bidi="ar-SA"/>
        </w:rPr>
        <w:t>职称：</w:t>
      </w:r>
      <w:r>
        <w:rPr>
          <w:rFonts w:ascii="Times New Roman" w:hAnsi="Times New Roman" w:eastAsia="楷体"/>
          <w:b/>
          <w:bCs/>
          <w:sz w:val="32"/>
          <w:szCs w:val="32"/>
          <w:u w:val="single"/>
        </w:rPr>
        <w:t xml:space="preserve">     </w:t>
      </w:r>
      <w:r>
        <w:rPr>
          <w:rFonts w:hint="eastAsia" w:eastAsia="楷体"/>
          <w:b/>
          <w:bCs/>
          <w:sz w:val="32"/>
          <w:szCs w:val="32"/>
          <w:u w:val="single"/>
          <w:lang w:val="en-US" w:eastAsia="zh-CN"/>
        </w:rPr>
        <w:t>教授</w:t>
      </w:r>
      <w:r>
        <w:rPr>
          <w:rFonts w:ascii="Times New Roman" w:hAnsi="Times New Roman" w:eastAsia="楷体"/>
          <w:b/>
          <w:bCs/>
          <w:sz w:val="32"/>
          <w:szCs w:val="32"/>
          <w:u w:val="single"/>
        </w:rPr>
        <w:t xml:space="preserve">     </w:t>
      </w:r>
      <w:r>
        <w:rPr>
          <w:rFonts w:hint="eastAsia" w:ascii="黑体" w:eastAsia="黑体" w:cs="Times New Roman"/>
          <w:kern w:val="2"/>
          <w:sz w:val="32"/>
          <w:szCs w:val="24"/>
          <w:lang w:val="en-US" w:eastAsia="zh-CN" w:bidi="ar-SA"/>
        </w:rPr>
        <w:t xml:space="preserve">  </w:t>
      </w:r>
      <w:r>
        <w:rPr>
          <w:rFonts w:ascii="Times New Roman" w:hAnsi="Times New Roman" w:eastAsia="楷体"/>
          <w:b/>
          <w:bCs/>
          <w:sz w:val="32"/>
          <w:szCs w:val="32"/>
          <w:u w:val="single"/>
        </w:rPr>
        <w:t xml:space="preserve">                       </w:t>
      </w:r>
    </w:p>
    <w:p w14:paraId="38B82D6D">
      <w:pPr>
        <w:spacing w:line="480" w:lineRule="auto"/>
        <w:jc w:val="center"/>
        <w:rPr>
          <w:rFonts w:ascii="Times New Roman" w:hAnsi="Times New Roman" w:eastAsia="楷体"/>
          <w:b/>
          <w:bCs/>
          <w:sz w:val="32"/>
          <w:szCs w:val="32"/>
        </w:rPr>
      </w:pPr>
    </w:p>
    <w:p w14:paraId="3C253A44">
      <w:pPr>
        <w:spacing w:line="480" w:lineRule="auto"/>
        <w:jc w:val="center"/>
        <w:rPr>
          <w:rFonts w:hint="eastAsia" w:ascii="宋体"/>
          <w:sz w:val="28"/>
        </w:rPr>
      </w:pPr>
      <w:r>
        <w:rPr>
          <w:rFonts w:hint="eastAsia" w:eastAsia="楷体"/>
          <w:b/>
          <w:bCs/>
          <w:sz w:val="32"/>
          <w:szCs w:val="32"/>
          <w:lang w:val="en-US" w:eastAsia="zh-CN"/>
        </w:rPr>
        <w:t>2026</w:t>
      </w:r>
      <w:r>
        <w:rPr>
          <w:rFonts w:ascii="Times New Roman" w:hAnsi="Times New Roman" w:eastAsia="楷体"/>
          <w:b/>
          <w:bCs/>
          <w:sz w:val="32"/>
          <w:szCs w:val="32"/>
        </w:rPr>
        <w:t xml:space="preserve">  </w:t>
      </w:r>
      <w:r>
        <w:rPr>
          <w:rFonts w:hint="eastAsia"/>
          <w:sz w:val="32"/>
        </w:rPr>
        <w:t xml:space="preserve">年 </w:t>
      </w:r>
      <w:r>
        <w:rPr>
          <w:rFonts w:hint="eastAsia"/>
          <w:sz w:val="32"/>
          <w:lang w:val="en-US" w:eastAsia="zh-CN"/>
        </w:rPr>
        <w:t>4</w:t>
      </w:r>
      <w:r>
        <w:rPr>
          <w:rFonts w:hint="eastAsia"/>
          <w:sz w:val="32"/>
        </w:rPr>
        <w:t xml:space="preserve">   月  </w:t>
      </w:r>
      <w:r>
        <w:rPr>
          <w:rFonts w:hint="eastAsia"/>
          <w:sz w:val="32"/>
          <w:lang w:val="en-US" w:eastAsia="zh-CN"/>
        </w:rPr>
        <w:t>8</w:t>
      </w:r>
      <w:r>
        <w:rPr>
          <w:rFonts w:hint="eastAsia"/>
          <w:sz w:val="32"/>
        </w:rPr>
        <w:t xml:space="preserve">  日</w:t>
      </w:r>
    </w:p>
    <w:p w14:paraId="30569158">
      <w:pPr>
        <w:spacing w:before="600" w:after="0" w:line="240" w:lineRule="auto"/>
        <w:jc w:val="center"/>
      </w:pPr>
    </w:p>
    <w:p w14:paraId="C0FE000F">
      <w:r>
        <w:br w:type="page"/>
      </w:r>
    </w:p>
    <w:p w14:paraId="D0FE0001">
      <w:pPr>
        <w:pStyle w:val="3"/>
        <w:bidi w:val="0"/>
        <w:jc w:val="center"/>
        <w:rPr>
          <w:rFonts w:hint="eastAsia"/>
          <w:sz w:val="36"/>
          <w:szCs w:val="36"/>
          <w:lang w:val="en-US" w:eastAsia="zh-CN"/>
        </w:rPr>
      </w:pPr>
      <w:bookmarkStart w:id="0" w:name="_Toc76695271"/>
      <w:r>
        <w:rPr>
          <w:rFonts w:hint="eastAsia"/>
          <w:sz w:val="36"/>
          <w:szCs w:val="36"/>
          <w:lang w:val="en-US" w:eastAsia="zh-CN"/>
        </w:rPr>
        <w:t>深圳大学本科毕业论文（设计）诚信声明</w:t>
      </w:r>
      <w:bookmarkEnd w:id="0"/>
    </w:p>
    <w:p w14:paraId="D0FE0002">
      <w:pPr>
        <w:widowControl w:val="0"/>
        <w:spacing w:before="100" w:beforeAutospacing="1" w:after="100" w:afterAutospacing="1" w:line="360" w:lineRule="auto"/>
        <w:ind w:firstLine="560" w:firstLineChars="200"/>
        <w:jc w:val="both"/>
        <w:rPr>
          <w:rFonts w:hint="eastAsia" w:eastAsia="宋体" w:cs="Times New Roman"/>
          <w:kern w:val="2"/>
          <w:sz w:val="28"/>
          <w:szCs w:val="24"/>
          <w:lang w:val="en-US" w:eastAsia="zh-CN" w:bidi="ar-SA"/>
        </w:rPr>
      </w:pPr>
      <w:r>
        <w:rPr>
          <w:rFonts w:hint="eastAsia" w:eastAsia="宋体" w:cs="Times New Roman"/>
          <w:kern w:val="2"/>
          <w:sz w:val="28"/>
          <w:szCs w:val="24"/>
          <w:lang w:val="en-US" w:eastAsia="zh-CN" w:bidi="ar-SA"/>
        </w:rPr>
        <w:t>本人郑重声明：所呈交的毕业论文（设计），题目《知道与使用：AI素养与AI新闻接触经验对受众AI新闻信任的影响机制研究》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D0FE0003">
      <w:pPr>
        <w:spacing w:line="360" w:lineRule="auto"/>
      </w:pPr>
    </w:p>
    <w:p w14:paraId="D0FE0004">
      <w:pPr>
        <w:spacing w:line="360" w:lineRule="auto"/>
      </w:pPr>
    </w:p>
    <w:p w14:paraId="D0FE0005">
      <w:pPr>
        <w:spacing w:line="360" w:lineRule="auto"/>
      </w:pPr>
    </w:p>
    <w:p w14:paraId="D0FE0006">
      <w:pPr>
        <w:spacing w:before="480" w:after="120" w:line="360" w:lineRule="auto"/>
        <w:jc w:val="right"/>
      </w:pPr>
      <w:r>
        <w:rPr>
          <w:rFonts w:ascii="Times New Roman" w:hAnsi="Times New Roman" w:eastAsia="宋体"/>
          <w:sz w:val="24"/>
          <w:szCs w:val="24"/>
        </w:rPr>
        <w:t xml:space="preserve">毕业论文（设计）作者签名                </w:t>
      </w:r>
    </w:p>
    <w:p w14:paraId="D0FE0007">
      <w:pPr>
        <w:spacing w:before="240" w:after="120" w:line="360" w:lineRule="auto"/>
        <w:jc w:val="right"/>
      </w:pPr>
      <w:r>
        <w:rPr>
          <w:rFonts w:ascii="Times New Roman" w:hAnsi="Times New Roman" w:eastAsia="宋体"/>
          <w:sz w:val="24"/>
          <w:szCs w:val="24"/>
        </w:rPr>
        <w:t xml:space="preserve">日期：    年    月    日                </w:t>
      </w:r>
    </w:p>
    <w:p w14:paraId="D0FE0008">
      <w:r>
        <w:br w:type="page"/>
      </w:r>
    </w:p>
    <w:p w14:paraId="10D339CA">
      <w:pPr>
        <w:pStyle w:val="3"/>
        <w:keepNext w:val="0"/>
        <w:keepLines w:val="0"/>
        <w:spacing w:before="360" w:after="360"/>
        <w:jc w:val="center"/>
        <w:rPr>
          <w:rFonts w:hint="eastAsia" w:ascii="黑体" w:hAnsi="黑体" w:eastAsia="黑体" w:cs="黑体"/>
        </w:rPr>
      </w:pPr>
      <w:bookmarkStart w:id="1" w:name="_Toc527231497"/>
      <w:r>
        <w:rPr>
          <w:rFonts w:hint="eastAsia" w:ascii="黑体" w:hAnsi="黑体" w:eastAsia="黑体" w:cs="黑体"/>
          <w:b/>
          <w:i w:val="0"/>
          <w:color w:val="000000"/>
          <w:sz w:val="32"/>
        </w:rPr>
        <w:t>目　录</w:t>
      </w:r>
      <w:bookmarkEnd w:id="1"/>
    </w:p>
    <w:p w14:paraId="34BC1555">
      <w:pPr>
        <w:pStyle w:val="27"/>
        <w:tabs>
          <w:tab w:val="right" w:leader="dot" w:pos="8788"/>
        </w:tabs>
        <w:rPr>
          <w:rFonts w:hint="eastAsia" w:ascii="黑体" w:hAnsi="黑体" w:eastAsia="黑体" w:cs="黑体"/>
        </w:rPr>
      </w:pPr>
      <w:r>
        <w:rPr>
          <w:rFonts w:hint="eastAsia" w:ascii="黑体" w:hAnsi="黑体" w:eastAsia="黑体" w:cs="黑体"/>
          <w:color w:val="auto"/>
          <w:sz w:val="24"/>
          <w:szCs w:val="24"/>
          <w:shd w:val="clear" w:color="auto" w:fill="auto"/>
        </w:rPr>
        <w:fldChar w:fldCharType="begin"/>
      </w:r>
      <w:r>
        <w:rPr>
          <w:rFonts w:hint="eastAsia" w:ascii="黑体" w:hAnsi="黑体" w:eastAsia="黑体" w:cs="黑体"/>
          <w:color w:val="auto"/>
          <w:sz w:val="24"/>
          <w:szCs w:val="24"/>
          <w:shd w:val="clear" w:color="auto" w:fill="auto"/>
        </w:rPr>
        <w:instrText xml:space="preserve"> TOC \o "1-3" \h \z \u </w:instrText>
      </w:r>
      <w:r>
        <w:rPr>
          <w:rFonts w:hint="eastAsia" w:ascii="黑体" w:hAnsi="黑体" w:eastAsia="黑体" w:cs="黑体"/>
          <w:color w:val="auto"/>
          <w:sz w:val="24"/>
          <w:szCs w:val="24"/>
          <w:shd w:val="clear" w:color="auto" w:fill="auto"/>
        </w:rPr>
        <w:fldChar w:fldCharType="separate"/>
      </w: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_Toc76695271 </w:instrText>
      </w:r>
      <w:r>
        <w:rPr>
          <w:rFonts w:hint="eastAsia" w:ascii="黑体" w:hAnsi="黑体" w:eastAsia="黑体" w:cs="黑体"/>
          <w:szCs w:val="24"/>
          <w:shd w:val="clear" w:color="auto" w:fill="auto"/>
        </w:rPr>
        <w:fldChar w:fldCharType="separate"/>
      </w:r>
      <w:r>
        <w:rPr>
          <w:rFonts w:hint="eastAsia" w:ascii="黑体" w:hAnsi="黑体" w:eastAsia="黑体" w:cs="黑体"/>
          <w:szCs w:val="36"/>
          <w:lang w:val="en-US" w:eastAsia="zh-CN"/>
        </w:rPr>
        <w:t>深圳大学本科毕业论文（设计）诚信声明</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_Toc76695271 \h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7EEC6B48">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_Toc527231497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目　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_Toc527231497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5608541">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_Toc662242557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摘　要</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_Toc662242557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446257FE">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_Toc2050396745 </w:instrText>
      </w:r>
      <w:r>
        <w:rPr>
          <w:rFonts w:hint="eastAsia" w:ascii="黑体" w:hAnsi="黑体" w:eastAsia="黑体" w:cs="黑体"/>
          <w:szCs w:val="24"/>
          <w:shd w:val="clear" w:color="auto" w:fill="auto"/>
        </w:rPr>
        <w:fldChar w:fldCharType="separate"/>
      </w:r>
      <w:r>
        <w:rPr>
          <w:rFonts w:hint="eastAsia" w:ascii="黑体" w:hAnsi="黑体" w:eastAsia="黑体" w:cs="黑体"/>
          <w:i w:val="0"/>
          <w:szCs w:val="32"/>
        </w:rPr>
        <w:t>1  绪论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_Toc2050396745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0BBBCE3">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_Toc348009806 </w:instrText>
      </w:r>
      <w:r>
        <w:rPr>
          <w:rFonts w:hint="eastAsia" w:ascii="黑体" w:hAnsi="黑体" w:eastAsia="黑体" w:cs="黑体"/>
          <w:szCs w:val="24"/>
          <w:shd w:val="clear" w:color="auto" w:fill="auto"/>
        </w:rPr>
        <w:fldChar w:fldCharType="separate"/>
      </w:r>
      <w:r>
        <w:rPr>
          <w:rFonts w:hint="eastAsia" w:ascii="黑体" w:hAnsi="黑体" w:eastAsia="黑体" w:cs="黑体"/>
          <w:i w:val="0"/>
          <w:szCs w:val="30"/>
        </w:rPr>
        <w:t>1.1  研究背景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_Toc348009806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4503FD2D">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_Toc1402838661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1.2  研究问题与研究意义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_Toc1402838661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6BEEFDE5">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_Toc286415014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1.2.1  研究问题</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_Toc286415014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4A47A280">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_Toc1266287371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1.2.2  理论意义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_Toc1266287371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09BDAC2">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_Toc928902627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1.2.3  实践意义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_Toc928902627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2B64B8D8">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_Toc2007821946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1.3  研究框架与章节安排</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_Toc2007821946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9CAAB09">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_Toc2052901111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  文献综述与研究假设</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_Toc2052901111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35148D61">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_Toc1636699875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2.1  AI新闻信任：概念界定与研究现状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_Toc1636699875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65BE6965">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_Toc896764702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2.2  AI素养与信任：系统式处理路径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_Toc896764702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0D158627">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_Toc884111868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2.2.1  AI素养的概念与测量</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_Toc884111868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2D2C5AD3">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_Toc828811883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2.2.2  AI素养与AI新闻信任的关系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_Toc828811883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600619F2">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_Toc1262383139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2.3  AI新闻接触经验与信任：启发式处理路径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_Toc1262383139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685336A4">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_Toc1882468460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2.3.1  接触经验影响信任的理论依据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_Toc1882468460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3F7CB8B8">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_Toc1918319616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2.3.2  启发式加工的角色</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_Toc1918319616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31D12879">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_Toc1025793701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2.4  AI技术信任的中介作用</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_Toc1025793701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A979417">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_Toc516014591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2.5  媒体信任的调节作用</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_Toc516014591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453DC5D">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_Toc1118264351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2.6  理论框架与研究模型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_Toc1118264351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410F20D0">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_Toc2039552360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  研究方法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_Toc2039552360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057CF461">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_Toc622541106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3.1  数据来源与样本说明</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_Toc622541106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E99C649">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_Toc508040358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3.2  变量测量</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_Toc508040358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0FCC5083">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_Toc239316434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3.2.1  自变量：AI素养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_Toc239316434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72713E5F">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_Toc2101919054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3.2.2  自变量：AI新闻接触频率</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_Toc2101919054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26644230">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_Toc847547428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3.2.3  中介变量：AI技术信任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_Toc847547428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41715076">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_Toc470591845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3.2.4  调节变量：媒体信任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_Toc470591845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852272E">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_Toc54867014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3.2.5  因变量：AI新闻信任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_Toc54867014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7E3DD1FD">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_Toc879419735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3.2.6  控制变量</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_Toc879419735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69FC2040">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_Toc1425027491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3.3  分析策略</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_Toc1425027491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7ED2BCE">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_Toc1699409893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3.3.1  信度分析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_Toc1699409893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4D47DA2">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_Toc449566551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3.3.2  描述统计与相关分析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_Toc449566551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34CCA79D">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_Toc1017552511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3.3.3  中介效应检验</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_Toc1017552511 \h </w:instrText>
      </w:r>
      <w:r>
        <w:rPr>
          <w:rFonts w:hint="eastAsia" w:ascii="黑体" w:hAnsi="黑体" w:eastAsia="黑体" w:cs="黑体"/>
        </w:rPr>
        <w:fldChar w:fldCharType="separate"/>
      </w:r>
      <w:r>
        <w:rPr>
          <w:rFonts w:hint="eastAsia" w:ascii="黑体" w:hAnsi="黑体" w:eastAsia="黑体" w:cs="黑体"/>
        </w:rPr>
        <w:t>12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9ACBA0D">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_Toc1592771316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3.3.4  有调节的中介效应检验</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_Toc1592771316 \h </w:instrText>
      </w:r>
      <w:r>
        <w:rPr>
          <w:rFonts w:hint="eastAsia" w:ascii="黑体" w:hAnsi="黑体" w:eastAsia="黑体" w:cs="黑体"/>
        </w:rPr>
        <w:fldChar w:fldCharType="separate"/>
      </w:r>
      <w:r>
        <w:rPr>
          <w:rFonts w:hint="eastAsia" w:ascii="黑体" w:hAnsi="黑体" w:eastAsia="黑体" w:cs="黑体"/>
        </w:rPr>
        <w:t>13</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271F6FB4">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_Toc1323848157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4  研究结果</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_Toc1323848157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2A2EBF8D">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_Toc1985391779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4.1  信度检验</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_Toc1985391779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0DB333E7">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_Toc878722567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4.2  描述统计与相关分析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_Toc878722567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0B65490B">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_Toc445143150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4.3  主效应检验</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_Toc445143150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0D85041A">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_Toc1835379549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4.4  中介效应检验（H3、H4）</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_Toc1835379549 \h </w:instrText>
      </w:r>
      <w:r>
        <w:rPr>
          <w:rFonts w:hint="eastAsia" w:ascii="黑体" w:hAnsi="黑体" w:eastAsia="黑体" w:cs="黑体"/>
        </w:rPr>
        <w:fldChar w:fldCharType="separate"/>
      </w:r>
      <w:r>
        <w:rPr>
          <w:rFonts w:hint="eastAsia" w:ascii="黑体" w:hAnsi="黑体" w:eastAsia="黑体" w:cs="黑体"/>
        </w:rPr>
        <w:t>15</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B8A81AD">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_Toc768974535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4.5  有调节的中介效应检验（H5）</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_Toc768974535 \h </w:instrText>
      </w:r>
      <w:r>
        <w:rPr>
          <w:rFonts w:hint="eastAsia" w:ascii="黑体" w:hAnsi="黑体" w:eastAsia="黑体" w:cs="黑体"/>
        </w:rPr>
        <w:fldChar w:fldCharType="separate"/>
      </w:r>
      <w:r>
        <w:rPr>
          <w:rFonts w:hint="eastAsia" w:ascii="黑体" w:hAnsi="黑体" w:eastAsia="黑体" w:cs="黑体"/>
        </w:rPr>
        <w:t>16</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1E43890">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_Toc598422099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4.6  研究结果小结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_Toc598422099 \h </w:instrText>
      </w:r>
      <w:r>
        <w:rPr>
          <w:rFonts w:hint="eastAsia" w:ascii="黑体" w:hAnsi="黑体" w:eastAsia="黑体" w:cs="黑体"/>
        </w:rPr>
        <w:fldChar w:fldCharType="separate"/>
      </w:r>
      <w:r>
        <w:rPr>
          <w:rFonts w:hint="eastAsia" w:ascii="黑体" w:hAnsi="黑体" w:eastAsia="黑体" w:cs="黑体"/>
        </w:rPr>
        <w:t>17</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3E7142B6">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_Toc1014298992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  讨论与结论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_Toc1014298992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36DCF894">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_Toc597968658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5.1  研究发现的理论解读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_Toc597968658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69B1F7D8">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_Toc1983250693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5.1.1  系统式路径：素养建立信任，也撕裂信任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_Toc1983250693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CA73F37">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_Toc1400712164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5.1.2  启发式路径：体验积累与信任消耗</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_Toc1400712164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2E2D1845">
      <w:pPr>
        <w:pStyle w:val="24"/>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_Toc1053601934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5.1.3  调节效应：忠实受众是最脆弱的受众</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_Toc1053601934 \h </w:instrText>
      </w:r>
      <w:r>
        <w:rPr>
          <w:rFonts w:hint="eastAsia" w:ascii="黑体" w:hAnsi="黑体" w:eastAsia="黑体" w:cs="黑体"/>
        </w:rPr>
        <w:fldChar w:fldCharType="separate"/>
      </w:r>
      <w:r>
        <w:rPr>
          <w:rFonts w:hint="eastAsia" w:ascii="黑体" w:hAnsi="黑体" w:eastAsia="黑体" w:cs="黑体"/>
        </w:rPr>
        <w:t>18</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7A8EDE64">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_Toc1885035223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5.2  理论贡献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_Toc1885035223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18ADF13F">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_Toc2108232417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5.3  实践启示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_Toc2108232417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4A48A781">
      <w:pPr>
        <w:pStyle w:val="30"/>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_Toc1729540666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5.4  研究局限与未来展望</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_Toc1729540666 \h </w:instrText>
      </w:r>
      <w:r>
        <w:rPr>
          <w:rFonts w:hint="eastAsia" w:ascii="黑体" w:hAnsi="黑体" w:eastAsia="黑体" w:cs="黑体"/>
        </w:rPr>
        <w:fldChar w:fldCharType="separate"/>
      </w:r>
      <w:r>
        <w:rPr>
          <w:rFonts w:hint="eastAsia" w:ascii="黑体" w:hAnsi="黑体" w:eastAsia="黑体" w:cs="黑体"/>
        </w:rPr>
        <w:t>19</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77790189">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_Toc51327670 </w:instrText>
      </w:r>
      <w:r>
        <w:rPr>
          <w:rFonts w:hint="eastAsia" w:ascii="黑体" w:hAnsi="黑体" w:eastAsia="黑体" w:cs="黑体"/>
          <w:szCs w:val="24"/>
          <w:shd w:val="clear" w:color="auto" w:fill="auto"/>
        </w:rPr>
        <w:fldChar w:fldCharType="separate"/>
      </w:r>
      <w:r>
        <w:rPr>
          <w:rFonts w:hint="eastAsia" w:ascii="黑体" w:hAnsi="黑体" w:eastAsia="黑体" w:cs="黑体"/>
          <w:i w:val="0"/>
        </w:rPr>
        <w:t>参考文献</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_Toc51327670 \h </w:instrText>
      </w:r>
      <w:r>
        <w:rPr>
          <w:rFonts w:hint="eastAsia" w:ascii="黑体" w:hAnsi="黑体" w:eastAsia="黑体" w:cs="黑体"/>
        </w:rPr>
        <w:fldChar w:fldCharType="separate"/>
      </w:r>
      <w:r>
        <w:rPr>
          <w:rFonts w:hint="eastAsia" w:ascii="黑体" w:hAnsi="黑体" w:eastAsia="黑体" w:cs="黑体"/>
        </w:rPr>
        <w:t>21</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5FB141BC">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_Toc1523207243 </w:instrText>
      </w:r>
      <w:r>
        <w:rPr>
          <w:rFonts w:hint="eastAsia" w:ascii="黑体" w:hAnsi="黑体" w:eastAsia="黑体" w:cs="黑体"/>
          <w:szCs w:val="24"/>
          <w:shd w:val="clear" w:color="auto" w:fill="auto"/>
        </w:rPr>
        <w:fldChar w:fldCharType="separate"/>
      </w:r>
      <w:r>
        <w:rPr>
          <w:rFonts w:hint="eastAsia" w:ascii="黑体" w:hAnsi="黑体" w:eastAsia="黑体" w:cs="黑体"/>
        </w:rPr>
        <w:t>致　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_Toc1523207243 \h </w:instrText>
      </w:r>
      <w:r>
        <w:rPr>
          <w:rFonts w:hint="eastAsia" w:ascii="黑体" w:hAnsi="黑体" w:eastAsia="黑体" w:cs="黑体"/>
        </w:rPr>
        <w:fldChar w:fldCharType="separate"/>
      </w:r>
      <w:r>
        <w:rPr>
          <w:rFonts w:hint="eastAsia" w:ascii="黑体" w:hAnsi="黑体" w:eastAsia="黑体" w:cs="黑体"/>
        </w:rPr>
        <w:t>22</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4CA6F108">
      <w:pPr>
        <w:pStyle w:val="27"/>
        <w:tabs>
          <w:tab w:val="right" w:leader="dot" w:pos="8788"/>
        </w:tabs>
        <w:rPr>
          <w:rFonts w:hint="eastAsia" w:ascii="黑体" w:hAnsi="黑体" w:eastAsia="黑体" w:cs="黑体"/>
        </w:rPr>
      </w:pPr>
      <w:r>
        <w:rPr>
          <w:rFonts w:hint="eastAsia" w:ascii="黑体" w:hAnsi="黑体" w:eastAsia="黑体" w:cs="黑体"/>
          <w:color w:val="auto"/>
          <w:szCs w:val="24"/>
          <w:shd w:val="clear" w:color="auto" w:fill="auto"/>
        </w:rPr>
        <w:fldChar w:fldCharType="begin"/>
      </w:r>
      <w:r>
        <w:rPr>
          <w:rFonts w:hint="eastAsia" w:ascii="黑体" w:hAnsi="黑体" w:eastAsia="黑体" w:cs="黑体"/>
          <w:szCs w:val="24"/>
          <w:shd w:val="clear" w:color="auto" w:fill="auto"/>
        </w:rPr>
        <w:instrText xml:space="preserve"> HYPERLINK \l _Toc391577214 </w:instrText>
      </w:r>
      <w:r>
        <w:rPr>
          <w:rFonts w:hint="eastAsia" w:ascii="黑体" w:hAnsi="黑体" w:eastAsia="黑体" w:cs="黑体"/>
          <w:szCs w:val="24"/>
          <w:shd w:val="clear" w:color="auto" w:fill="auto"/>
        </w:rPr>
        <w:fldChar w:fldCharType="separate"/>
      </w:r>
      <w:r>
        <w:rPr>
          <w:rFonts w:hint="eastAsia" w:ascii="黑体" w:hAnsi="黑体" w:eastAsia="黑体" w:cs="黑体"/>
        </w:rPr>
        <w:t>ABSTRACT</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_Toc391577214 \h </w:instrText>
      </w:r>
      <w:r>
        <w:rPr>
          <w:rFonts w:hint="eastAsia" w:ascii="黑体" w:hAnsi="黑体" w:eastAsia="黑体" w:cs="黑体"/>
        </w:rPr>
        <w:fldChar w:fldCharType="separate"/>
      </w:r>
      <w:r>
        <w:rPr>
          <w:rFonts w:hint="eastAsia" w:ascii="黑体" w:hAnsi="黑体" w:eastAsia="黑体" w:cs="黑体"/>
        </w:rPr>
        <w:t>23</w:t>
      </w:r>
      <w:r>
        <w:rPr>
          <w:rFonts w:hint="eastAsia" w:ascii="黑体" w:hAnsi="黑体" w:eastAsia="黑体" w:cs="黑体"/>
        </w:rPr>
        <w:fldChar w:fldCharType="end"/>
      </w:r>
      <w:r>
        <w:rPr>
          <w:rFonts w:hint="eastAsia" w:ascii="黑体" w:hAnsi="黑体" w:eastAsia="黑体" w:cs="黑体"/>
          <w:color w:val="auto"/>
          <w:szCs w:val="24"/>
          <w:shd w:val="clear" w:color="auto" w:fill="auto"/>
        </w:rPr>
        <w:fldChar w:fldCharType="end"/>
      </w:r>
    </w:p>
    <w:p w14:paraId="24BE86EF">
      <w:pPr>
        <w:keepNext w:val="0"/>
        <w:keepLines w:val="0"/>
        <w:spacing w:before="240" w:after="240"/>
        <w:jc w:val="center"/>
        <w:rPr>
          <w:rFonts w:hint="eastAsia" w:ascii="宋体" w:hAnsi="宋体" w:eastAsia="宋体" w:cs="宋体"/>
          <w:color w:val="auto"/>
          <w:sz w:val="24"/>
          <w:szCs w:val="24"/>
          <w:shd w:val="clear" w:color="auto" w:fill="auto"/>
        </w:rPr>
      </w:pPr>
      <w:r>
        <w:rPr>
          <w:rFonts w:hint="eastAsia" w:ascii="黑体" w:hAnsi="黑体" w:eastAsia="黑体" w:cs="黑体"/>
          <w:color w:val="auto"/>
          <w:szCs w:val="24"/>
          <w:shd w:val="clear" w:color="auto" w:fill="auto"/>
        </w:rPr>
        <w:fldChar w:fldCharType="end"/>
      </w:r>
    </w:p>
    <w:p w14:paraId="48A07F81"/>
    <w:p w14:paraId="716A9231">
      <w:pPr>
        <w:pStyle w:val="3"/>
        <w:keepNext w:val="0"/>
        <w:keepLines w:val="0"/>
        <w:spacing w:before="360" w:after="240"/>
        <w:jc w:val="center"/>
      </w:pPr>
      <w:bookmarkStart w:id="2" w:name="_Toc662242557"/>
      <w:r>
        <w:rPr>
          <w:rFonts w:ascii="Times New Roman" w:hAnsi="Times New Roman" w:eastAsia="黑体"/>
          <w:b/>
          <w:i w:val="0"/>
          <w:color w:val="000000"/>
          <w:sz w:val="32"/>
        </w:rPr>
        <w:t>摘　要</w:t>
      </w:r>
      <w:bookmarkEnd w:id="2"/>
    </w:p>
    <w:p w14:paraId="718C9BDA">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pPr>
      <w:r>
        <w:rPr>
          <w:rFonts w:ascii="Times New Roman" w:hAnsi="Times New Roman" w:eastAsia="KaiTi"/>
          <w:b/>
          <w:i w:val="0"/>
          <w:sz w:val="24"/>
        </w:rPr>
        <w:t>【摘要】</w:t>
      </w:r>
      <w:r>
        <w:rPr>
          <w:rFonts w:ascii="Times New Roman" w:hAnsi="Times New Roman" w:eastAsia="KaiTi"/>
          <w:b w:val="0"/>
          <w:i w:val="0"/>
          <w:sz w:val="21"/>
        </w:rPr>
        <w:t>随着人工智能技术在新闻生产中的广泛应用，受众对AI新闻的信任问题日益受到学界关注。现有研究分别从认知与行为两个维度探讨AI新闻信任的影响因素，但鲜有研究将AI素养与AI新闻接触经验纳入同一框架进行系统比较。本研究基于中国受众调查数据（N=904），以启发式-系统式模型（HSM）为理论框架，构建了以AI技术信任为中介、媒体信任为调节变量的有调节的中介模型。研究发现：（1）AI素养越高，AI技术信任越强，并与AI新闻信任呈正向关联；（2）AI新闻接触频率越高，AI技术信任越弱，并与AI新闻信任呈负向关联；（3）两条路径均通过AI技术信任的中介得以实现；（4）媒体信任负向调节AI新闻接触频率对AI技术信任的影响，即媒体信任越高的受众，频繁接触AI新闻对其AI技术信任的负向效应越强。上述发现揭示了认知型影响因素与经验型影响因素作用于AI新闻信任的差异化机制，为新闻机构的AI应用策略提供了初步的实证参考。</w:t>
      </w:r>
    </w:p>
    <w:p w14:paraId="5C234BF6">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pPr>
      <w:r>
        <w:rPr>
          <w:rFonts w:ascii="Times New Roman" w:hAnsi="Times New Roman" w:eastAsia="KaiTi"/>
          <w:b/>
          <w:i w:val="0"/>
          <w:sz w:val="24"/>
        </w:rPr>
        <w:t>【关键词】</w:t>
      </w:r>
      <w:r>
        <w:rPr>
          <w:rFonts w:ascii="Times New Roman" w:hAnsi="Times New Roman" w:eastAsia="KaiTi"/>
          <w:b w:val="0"/>
          <w:i w:val="0"/>
          <w:sz w:val="21"/>
        </w:rPr>
        <w:t>AI素养；AI新闻信任；AI技术信任；媒体信任</w:t>
      </w:r>
    </w:p>
    <w:p w14:paraId="70E1EEB7">
      <w:r>
        <w:br w:type="page"/>
      </w:r>
    </w:p>
    <w:p w14:paraId="2B05DA47">
      <w:pPr>
        <w:pStyle w:val="3"/>
        <w:keepNext/>
        <w:keepLines w:val="0"/>
        <w:pageBreakBefore w:val="0"/>
        <w:widowControl/>
        <w:kinsoku/>
        <w:wordWrap/>
        <w:overflowPunct/>
        <w:topLinePunct w:val="0"/>
        <w:bidi w:val="0"/>
        <w:adjustRightInd/>
        <w:snapToGrid/>
        <w:spacing w:before="360" w:after="240" w:line="240" w:lineRule="auto"/>
        <w:jc w:val="left"/>
        <w:textAlignment w:val="auto"/>
        <w:rPr>
          <w:rFonts w:hint="eastAsia" w:ascii="黑体" w:hAnsi="黑体" w:eastAsia="黑体" w:cs="黑体"/>
          <w:sz w:val="32"/>
          <w:szCs w:val="32"/>
        </w:rPr>
      </w:pPr>
      <w:bookmarkStart w:id="3" w:name="_Toc2050396745"/>
      <w:r>
        <w:rPr>
          <w:rFonts w:hint="eastAsia" w:ascii="黑体" w:hAnsi="黑体" w:eastAsia="黑体" w:cs="黑体"/>
          <w:b/>
          <w:i w:val="0"/>
          <w:color w:val="000000"/>
          <w:sz w:val="32"/>
          <w:szCs w:val="32"/>
        </w:rPr>
        <w:t>1  绪论</w:t>
      </w:r>
      <w:bookmarkEnd w:id="3"/>
    </w:p>
    <w:p w14:paraId="56109B34">
      <w:pPr>
        <w:pStyle w:val="4"/>
        <w:keepNext/>
        <w:keepLines w:val="0"/>
        <w:spacing w:before="240" w:after="120" w:line="240" w:lineRule="auto"/>
        <w:jc w:val="left"/>
        <w:rPr>
          <w:sz w:val="30"/>
          <w:szCs w:val="30"/>
        </w:rPr>
      </w:pPr>
      <w:bookmarkStart w:id="4" w:name="_Toc348009806"/>
      <w:r>
        <w:rPr>
          <w:rFonts w:ascii="Times New Roman" w:hAnsi="Times New Roman" w:eastAsia="黑体"/>
          <w:b/>
          <w:i w:val="0"/>
          <w:color w:val="000000"/>
          <w:sz w:val="30"/>
          <w:szCs w:val="30"/>
        </w:rPr>
        <w:t>1.1  研究背景</w:t>
      </w:r>
      <w:bookmarkEnd w:id="4"/>
    </w:p>
    <w:p w14:paraId="3009D483">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sz w:val="21"/>
          <w:szCs w:val="21"/>
        </w:rPr>
      </w:pPr>
      <w:r>
        <w:rPr>
          <w:rFonts w:ascii="Times New Roman" w:hAnsi="Times New Roman" w:eastAsia="宋体"/>
          <w:b w:val="0"/>
          <w:i w:val="0"/>
          <w:sz w:val="21"/>
          <w:szCs w:val="21"/>
        </w:rPr>
        <w:t>生成式人工智能技术正在重塑新闻生产的基本格局。美联社、BBC、华盛顿邮报等国际主流媒体机构已在数据分析、自动写作、内容摘要、受众互动等核心环节广泛使用AI。在中国，新华社、人民日报、央视新闻等主流媒体亦在加速推进AI辅助新闻生产，AI写作机器人和智能编辑系统已在财经报道、体育资讯、突发事件快讯等领域实现规模化部署。</w:t>
      </w:r>
    </w:p>
    <w:p w14:paraId="0A1A8537">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sz w:val="21"/>
          <w:szCs w:val="21"/>
        </w:rPr>
      </w:pPr>
      <w:r>
        <w:rPr>
          <w:rFonts w:ascii="Times New Roman" w:hAnsi="Times New Roman" w:eastAsia="宋体"/>
          <w:b w:val="0"/>
          <w:i w:val="0"/>
          <w:sz w:val="21"/>
          <w:szCs w:val="21"/>
        </w:rPr>
        <w:t>但技术效率的提升并未自动赢得公众信任。生成式AI的幻觉问题、内容同质化倾向以及新闻伦理的模糊地带，持续引发受众对AI新闻可靠性的质疑。Reuters Institute发布的《数字新闻报告》显示，全球受众对新闻媒体的整体信任度近年来呈现下滑趋势，而AI生成内容的大量涌现进一步加剧了这一危机。公众对AI新闻信任的形成机制，正成为学界亟待回应的现实课题。</w:t>
      </w:r>
    </w:p>
    <w:p w14:paraId="79E0595A">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sz w:val="21"/>
          <w:szCs w:val="21"/>
        </w:rPr>
      </w:pPr>
      <w:r>
        <w:rPr>
          <w:rFonts w:ascii="Times New Roman" w:hAnsi="Times New Roman" w:eastAsia="宋体"/>
          <w:b w:val="0"/>
          <w:i w:val="0"/>
          <w:sz w:val="21"/>
          <w:szCs w:val="21"/>
        </w:rPr>
        <w:t>与此同时，公众对AI技术本身的认知与使用正在快速分化。一方面，随着ChatGPT、DeepSeek等生成式AI工具的普及，具备较高AI素养的用户群体正在扩大；另一方面，频繁接触AI生成内容的受众也在积累各异的使用体验。这两类群体对AI新闻的信任态度是否存在系统性差异，其背后的机制是什么，目前学界尚缺乏来自中国情境的实证研究。</w:t>
      </w:r>
    </w:p>
    <w:p w14:paraId="5738195B">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sz w:val="21"/>
          <w:szCs w:val="21"/>
        </w:rPr>
      </w:pPr>
      <w:r>
        <w:rPr>
          <w:rFonts w:ascii="Times New Roman" w:hAnsi="Times New Roman" w:eastAsia="宋体"/>
          <w:b w:val="0"/>
          <w:i w:val="0"/>
          <w:sz w:val="21"/>
          <w:szCs w:val="21"/>
        </w:rPr>
        <w:t>本研究通过分析中国受众调查数据发现，AI素养与AI新闻接触频率对AI新闻信任的影响方向截然相反：AI素养越高的受众对AI新闻信任越强，而AI新闻接触频率越高的受众对AI新闻信任反而越弱。这一矛盾构成了本研究的核心问题。</w:t>
      </w:r>
    </w:p>
    <w:p w14:paraId="65AC8591">
      <w:pPr>
        <w:pStyle w:val="4"/>
        <w:keepNext/>
        <w:keepLines w:val="0"/>
        <w:spacing w:before="240" w:after="120" w:line="240" w:lineRule="auto"/>
        <w:jc w:val="left"/>
      </w:pPr>
      <w:bookmarkStart w:id="5" w:name="_Toc1402838661"/>
      <w:r>
        <w:rPr>
          <w:rFonts w:ascii="Times New Roman" w:hAnsi="Times New Roman" w:eastAsia="黑体"/>
          <w:b/>
          <w:i w:val="0"/>
          <w:color w:val="000000"/>
          <w:sz w:val="30"/>
        </w:rPr>
        <w:t>1.2  研究问题与研究意义</w:t>
      </w:r>
      <w:bookmarkEnd w:id="5"/>
    </w:p>
    <w:p w14:paraId="2259EF52">
      <w:pPr>
        <w:pStyle w:val="5"/>
        <w:keepNext/>
        <w:keepLines w:val="0"/>
        <w:spacing w:before="240" w:after="120" w:line="240" w:lineRule="auto"/>
        <w:jc w:val="left"/>
      </w:pPr>
      <w:bookmarkStart w:id="6" w:name="_Toc286415014"/>
      <w:r>
        <w:rPr>
          <w:rFonts w:ascii="Times New Roman" w:hAnsi="Times New Roman" w:eastAsia="黑体"/>
          <w:b/>
          <w:i w:val="0"/>
          <w:color w:val="000000"/>
          <w:sz w:val="28"/>
        </w:rPr>
        <w:t>1.2.1  研究问题</w:t>
      </w:r>
      <w:bookmarkEnd w:id="6"/>
    </w:p>
    <w:p w14:paraId="65D13836">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rFonts w:ascii="Times New Roman" w:hAnsi="Times New Roman" w:eastAsia="宋体"/>
          <w:b w:val="0"/>
          <w:i w:val="0"/>
          <w:sz w:val="21"/>
          <w:szCs w:val="21"/>
        </w:rPr>
      </w:pPr>
      <w:r>
        <w:rPr>
          <w:rFonts w:ascii="Times New Roman" w:hAnsi="Times New Roman" w:eastAsia="宋体"/>
          <w:b w:val="0"/>
          <w:i w:val="0"/>
          <w:sz w:val="21"/>
          <w:szCs w:val="21"/>
        </w:rPr>
        <w:t>本研究聚焦以下核心问题：</w:t>
      </w:r>
    </w:p>
    <w:p w14:paraId="0E8D36BB">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rFonts w:ascii="Times New Roman" w:hAnsi="Times New Roman" w:eastAsia="宋体"/>
          <w:b w:val="0"/>
          <w:i w:val="0"/>
          <w:sz w:val="21"/>
          <w:szCs w:val="21"/>
        </w:rPr>
      </w:pPr>
      <w:r>
        <w:rPr>
          <w:rFonts w:ascii="Times New Roman" w:hAnsi="Times New Roman" w:eastAsia="宋体"/>
          <w:b w:val="0"/>
          <w:i w:val="0"/>
          <w:sz w:val="21"/>
          <w:szCs w:val="21"/>
        </w:rPr>
        <w:t>RQ1：AI素养与AI新闻接触频率对受众AI新闻信任的影响方向为何截然相反？</w:t>
      </w:r>
    </w:p>
    <w:p w14:paraId="7CE33E55">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rFonts w:ascii="Times New Roman" w:hAnsi="Times New Roman" w:eastAsia="宋体"/>
          <w:b w:val="0"/>
          <w:i w:val="0"/>
          <w:sz w:val="21"/>
          <w:szCs w:val="21"/>
        </w:rPr>
      </w:pPr>
      <w:r>
        <w:rPr>
          <w:rFonts w:ascii="Times New Roman" w:hAnsi="Times New Roman" w:eastAsia="宋体"/>
          <w:b w:val="0"/>
          <w:i w:val="0"/>
          <w:sz w:val="21"/>
          <w:szCs w:val="21"/>
        </w:rPr>
        <w:t>RQ2：AI技术信任在上述两条路径中是否发挥中介作用？</w:t>
      </w:r>
    </w:p>
    <w:p w14:paraId="6A5D08C2">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pPr>
      <w:r>
        <w:rPr>
          <w:rFonts w:ascii="Times New Roman" w:hAnsi="Times New Roman" w:eastAsia="宋体"/>
          <w:b w:val="0"/>
          <w:i w:val="0"/>
          <w:sz w:val="21"/>
          <w:szCs w:val="21"/>
        </w:rPr>
        <w:t>RQ3：媒体信任是否对AI新闻接触经验影响AI技术信任的路径产生调节效应？</w:t>
      </w:r>
    </w:p>
    <w:p w14:paraId="76F9B33C">
      <w:pPr>
        <w:pStyle w:val="5"/>
        <w:keepNext/>
        <w:keepLines w:val="0"/>
        <w:spacing w:before="240" w:after="120" w:line="240" w:lineRule="auto"/>
        <w:jc w:val="left"/>
      </w:pPr>
      <w:bookmarkStart w:id="7" w:name="_Toc1266287371"/>
      <w:r>
        <w:rPr>
          <w:rFonts w:ascii="Times New Roman" w:hAnsi="Times New Roman" w:eastAsia="黑体"/>
          <w:b/>
          <w:i w:val="0"/>
          <w:color w:val="000000"/>
          <w:sz w:val="28"/>
        </w:rPr>
        <w:t>1.2.2  理论意义</w:t>
      </w:r>
      <w:bookmarkEnd w:id="7"/>
    </w:p>
    <w:p w14:paraId="2B445866">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rFonts w:ascii="Times New Roman" w:hAnsi="Times New Roman" w:eastAsia="宋体"/>
          <w:b w:val="0"/>
          <w:i w:val="0"/>
          <w:sz w:val="21"/>
          <w:szCs w:val="21"/>
        </w:rPr>
      </w:pPr>
      <w:r>
        <w:rPr>
          <w:rFonts w:ascii="Times New Roman" w:hAnsi="Times New Roman" w:eastAsia="宋体"/>
          <w:b w:val="0"/>
          <w:i w:val="0"/>
          <w:sz w:val="21"/>
          <w:szCs w:val="21"/>
        </w:rPr>
        <w:t>理论层面，本研究有三方面贡献。第一，将AI素养（认知型影响因素）与AI新闻接触经验（行为型影响因素）纳入同一框架，以启发式-系统式模型（HSM）的双路径逻辑解释两者方向相反的机制，回应了现有文献中关于“AI素养是否必然提升信任”的争议。第二，通过区分AI技术信任与AI新闻信任两个层次的信任客体，揭示了认知/经验影响新闻信任的中介路径，丰富了AI新闻可信度研究的机制理论。第三，发现遮掩效应（suppression effect）：加入AI技术信任后，AI素养对AI新闻信任的直接效应转为负向，表明忽视中介变量将导致对素养影响机制的误判，为相关研究提供了方法论启示。</w:t>
      </w:r>
    </w:p>
    <w:p w14:paraId="03C2FBA4">
      <w:pPr>
        <w:pStyle w:val="5"/>
        <w:keepNext/>
        <w:keepLines w:val="0"/>
        <w:spacing w:before="240" w:after="120" w:line="240" w:lineRule="auto"/>
        <w:jc w:val="left"/>
      </w:pPr>
      <w:bookmarkStart w:id="8" w:name="_Toc928902627"/>
      <w:r>
        <w:rPr>
          <w:rFonts w:ascii="Times New Roman" w:hAnsi="Times New Roman" w:eastAsia="黑体"/>
          <w:b/>
          <w:i w:val="0"/>
          <w:color w:val="000000"/>
          <w:sz w:val="28"/>
        </w:rPr>
        <w:t>1.2.3  实践意义</w:t>
      </w:r>
      <w:bookmarkEnd w:id="8"/>
    </w:p>
    <w:p w14:paraId="66E41393">
      <w:pPr>
        <w:keepNext w:val="0"/>
        <w:keepLines w:val="0"/>
        <w:pageBreakBefore w:val="0"/>
        <w:widowControl/>
        <w:kinsoku/>
        <w:wordWrap/>
        <w:overflowPunct/>
        <w:topLinePunct w:val="0"/>
        <w:bidi w:val="0"/>
        <w:adjustRightInd/>
        <w:snapToGrid/>
        <w:spacing w:before="181" w:beforeLines="50" w:after="181" w:afterLines="50" w:line="240" w:lineRule="auto"/>
        <w:ind w:firstLine="420"/>
        <w:jc w:val="both"/>
        <w:textAlignment w:val="auto"/>
        <w:rPr>
          <w:rFonts w:ascii="Times New Roman" w:hAnsi="Times New Roman" w:eastAsia="宋体"/>
          <w:b w:val="0"/>
          <w:i w:val="0"/>
          <w:sz w:val="21"/>
          <w:szCs w:val="21"/>
        </w:rPr>
      </w:pPr>
      <w:r>
        <w:rPr>
          <w:rFonts w:ascii="Times New Roman" w:hAnsi="Times New Roman" w:eastAsia="宋体"/>
          <w:b w:val="0"/>
          <w:i w:val="0"/>
          <w:sz w:val="21"/>
          <w:szCs w:val="21"/>
        </w:rPr>
        <w:t>本研究的实践价值在于为中国新闻机构的AI应用策略提供初步的实证参考。研究结论表明，受众的AI素养教育与AI新闻信任的正向关联，强于单纯增加AI新闻内容供给量所带来的效果；而对于媒体信任度较高的受众群体，频繁接触AI新闻反而更容易引发信任落差，新闻机构需要特别重视对这一群体的期望管理。上述发现对于制定差异化的AI新闻传播策略具有直接指导意义。</w:t>
      </w:r>
    </w:p>
    <w:p w14:paraId="19F27653">
      <w:pPr>
        <w:pStyle w:val="4"/>
        <w:keepNext/>
        <w:keepLines w:val="0"/>
        <w:spacing w:before="240" w:after="120" w:line="240" w:lineRule="auto"/>
        <w:jc w:val="left"/>
      </w:pPr>
      <w:bookmarkStart w:id="9" w:name="_Toc2007821946"/>
      <w:r>
        <w:rPr>
          <w:rFonts w:ascii="Times New Roman" w:hAnsi="Times New Roman" w:eastAsia="黑体"/>
          <w:b/>
          <w:i w:val="0"/>
          <w:color w:val="000000"/>
          <w:sz w:val="30"/>
        </w:rPr>
        <w:t>1.3  研究框架与章节安排</w:t>
      </w:r>
      <w:bookmarkEnd w:id="9"/>
    </w:p>
    <w:p w14:paraId="1135F418">
      <w:pPr>
        <w:keepNext w:val="0"/>
        <w:keepLines w:val="0"/>
        <w:spacing w:before="120" w:after="120" w:line="240" w:lineRule="auto"/>
        <w:ind w:firstLine="420"/>
        <w:jc w:val="both"/>
      </w:pPr>
      <w:r>
        <w:rPr>
          <w:rFonts w:ascii="Times New Roman" w:hAnsi="Times New Roman" w:eastAsia="宋体"/>
          <w:b w:val="0"/>
          <w:i w:val="0"/>
          <w:sz w:val="21"/>
        </w:rPr>
        <w:t>本文共分五章。第一章为绪论，阐述研究背景、研究问题与研究意义。第二章为文献综述，梳理AI新闻信任、AI素养、AI接触经验以及HSM理论的相关研究，提出研究假设。第三章为研究方法，介绍数据来源、变量测量与分析策略。第四章为研究结果，呈现描述统计、相关分析、回归分析及中介/调节效应检验结果。第五章为讨论与结论，阐释研究发现的理论含义，指出研究局限并提出未来研究方向。</w:t>
      </w:r>
    </w:p>
    <w:p w14:paraId="084F6EF3">
      <w:r>
        <w:br w:type="page"/>
      </w:r>
    </w:p>
    <w:p w14:paraId="17196999">
      <w:pPr>
        <w:pStyle w:val="3"/>
        <w:keepNext/>
        <w:keepLines w:val="0"/>
        <w:spacing w:before="360" w:after="240" w:line="240" w:lineRule="auto"/>
        <w:jc w:val="left"/>
      </w:pPr>
      <w:bookmarkStart w:id="10" w:name="_Toc2052901111"/>
      <w:r>
        <w:rPr>
          <w:rFonts w:ascii="Times New Roman" w:hAnsi="Times New Roman" w:eastAsia="黑体"/>
          <w:b/>
          <w:i w:val="0"/>
          <w:color w:val="000000"/>
          <w:sz w:val="32"/>
        </w:rPr>
        <w:t>2  文献综述与研究假设</w:t>
      </w:r>
      <w:bookmarkEnd w:id="10"/>
    </w:p>
    <w:p w14:paraId="0CA25176">
      <w:pPr>
        <w:pStyle w:val="4"/>
        <w:keepNext/>
        <w:keepLines w:val="0"/>
        <w:spacing w:before="240" w:after="120" w:line="240" w:lineRule="auto"/>
        <w:jc w:val="left"/>
      </w:pPr>
      <w:bookmarkStart w:id="11" w:name="_Toc1636699875"/>
      <w:r>
        <w:rPr>
          <w:rFonts w:ascii="Times New Roman" w:hAnsi="Times New Roman" w:eastAsia="黑体"/>
          <w:b/>
          <w:i w:val="0"/>
          <w:color w:val="000000"/>
          <w:sz w:val="30"/>
        </w:rPr>
        <w:t>2.1  AI新闻信任：概念界定与研究现状</w:t>
      </w:r>
      <w:bookmarkEnd w:id="11"/>
    </w:p>
    <w:p w14:paraId="5434986A">
      <w:pPr>
        <w:keepNext w:val="0"/>
        <w:keepLines w:val="0"/>
        <w:spacing w:before="120" w:after="120" w:line="240" w:lineRule="auto"/>
        <w:ind w:firstLine="420"/>
        <w:jc w:val="both"/>
      </w:pPr>
      <w:r>
        <w:rPr>
          <w:rFonts w:ascii="Times New Roman" w:hAnsi="Times New Roman" w:eastAsia="宋体"/>
          <w:b w:val="0"/>
          <w:i w:val="0"/>
          <w:sz w:val="21"/>
        </w:rPr>
        <w:t>新闻信任（news trust）是受众与新闻业之间关系的核心纽带，指受众对新闻报道的准确性、公正性与可靠性的整体评价</w:t>
      </w:r>
      <w:r>
        <w:rPr>
          <w:rFonts w:ascii="Times New Roman" w:hAnsi="Times New Roman" w:eastAsia="宋体"/>
          <w:b w:val="0"/>
          <w:i w:val="0"/>
          <w:sz w:val="16"/>
          <w:vertAlign w:val="superscript"/>
        </w:rPr>
        <w:t>[1]</w:t>
      </w:r>
      <w:r>
        <w:rPr>
          <w:rFonts w:ascii="Times New Roman" w:hAnsi="Times New Roman" w:eastAsia="宋体"/>
          <w:b w:val="0"/>
          <w:i w:val="0"/>
          <w:sz w:val="21"/>
        </w:rPr>
        <w:t>。人工智能深度介入新闻生产后，这一议题正在被重新定义。白红义和万旭琪（2025）指出，AI并非信任发生的透明中介，而是一种具有自主性的“信任主体”——它的参与，使得“人机信任”成为理解当代新闻信任的前提性问题</w:t>
      </w:r>
      <w:r>
        <w:rPr>
          <w:rFonts w:ascii="Times New Roman" w:hAnsi="Times New Roman" w:eastAsia="宋体"/>
          <w:b w:val="0"/>
          <w:i w:val="0"/>
          <w:sz w:val="16"/>
          <w:vertAlign w:val="superscript"/>
        </w:rPr>
        <w:t>[1]</w:t>
      </w:r>
      <w:r>
        <w:rPr>
          <w:rFonts w:ascii="Times New Roman" w:hAnsi="Times New Roman" w:eastAsia="宋体"/>
          <w:b w:val="0"/>
          <w:i w:val="0"/>
          <w:sz w:val="21"/>
        </w:rPr>
        <w:t>。换言之，受众在评价一篇AI新闻时，并非仅仅在判断这篇报道是否真实，而是在更深层次上回应一个问题：我是否信任生产它的那种技术力量？</w:t>
      </w:r>
    </w:p>
    <w:p w14:paraId="09914E4B">
      <w:pPr>
        <w:keepNext w:val="0"/>
        <w:keepLines w:val="0"/>
        <w:spacing w:before="120" w:after="120" w:line="240" w:lineRule="auto"/>
        <w:ind w:firstLine="420"/>
        <w:jc w:val="both"/>
      </w:pPr>
      <w:r>
        <w:rPr>
          <w:rFonts w:ascii="Times New Roman" w:hAnsi="Times New Roman" w:eastAsia="宋体"/>
          <w:b w:val="0"/>
          <w:i w:val="0"/>
          <w:sz w:val="21"/>
        </w:rPr>
        <w:t>从这一视角出发，区分AI技术信任与AI新闻信任便成为理解信任机制的关键一步。AI技术信任是对人工智能作为技术系统的整体评价，涵盖对其可靠性、安全性与社会影响的判断；AI新闻信任则是在媒介消费情境下，受众对具体AI生成内容的可信度评价。陈昌凤和王金鹏（2025）指出，AI深度嵌入新闻业不仅造成了结构性的权力转移，更加剧了公众的信任危机——新闻的生产主体变了，但受众的信任标准并未随之自动调整</w:t>
      </w:r>
      <w:r>
        <w:rPr>
          <w:rFonts w:ascii="Times New Roman" w:hAnsi="Times New Roman" w:eastAsia="宋体"/>
          <w:b w:val="0"/>
          <w:i w:val="0"/>
          <w:sz w:val="16"/>
          <w:vertAlign w:val="superscript"/>
        </w:rPr>
        <w:t>[2]</w:t>
      </w:r>
      <w:r>
        <w:rPr>
          <w:rFonts w:ascii="Times New Roman" w:hAnsi="Times New Roman" w:eastAsia="宋体"/>
          <w:b w:val="0"/>
          <w:i w:val="0"/>
          <w:sz w:val="21"/>
        </w:rPr>
        <w:t>。这一结构性张力，构成了本研究的社会背景。</w:t>
      </w:r>
    </w:p>
    <w:p w14:paraId="71E0A9F8">
      <w:pPr>
        <w:keepNext w:val="0"/>
        <w:keepLines w:val="0"/>
        <w:spacing w:before="120" w:after="120" w:line="240" w:lineRule="auto"/>
        <w:ind w:firstLine="420"/>
        <w:jc w:val="both"/>
      </w:pPr>
      <w:r>
        <w:rPr>
          <w:rFonts w:ascii="Times New Roman" w:hAnsi="Times New Roman" w:eastAsia="宋体"/>
          <w:b w:val="0"/>
          <w:i w:val="0"/>
          <w:sz w:val="21"/>
        </w:rPr>
        <w:t>Wang与Huang（2024）对30项实验研究的元分析发现，机器作者身份对可信度感知存在微弱但显著的负向效应，且在社会政治类新闻中尤为突出</w:t>
      </w:r>
      <w:r>
        <w:rPr>
          <w:rFonts w:ascii="Times New Roman" w:hAnsi="Times New Roman" w:eastAsia="宋体"/>
          <w:b w:val="0"/>
          <w:i w:val="0"/>
          <w:sz w:val="16"/>
          <w:vertAlign w:val="superscript"/>
        </w:rPr>
        <w:t>[3]</w:t>
      </w:r>
      <w:r>
        <w:rPr>
          <w:rFonts w:ascii="Times New Roman" w:hAnsi="Times New Roman" w:eastAsia="宋体"/>
          <w:b w:val="0"/>
          <w:i w:val="0"/>
          <w:sz w:val="21"/>
        </w:rPr>
        <w:t>。Toff与Simon（2025）的调查实验进一步揭示，AI标注非但没有提升信任，反而在原本信任度较高的受众和新闻知识丰富者中显著降低了可信度感知</w:t>
      </w:r>
      <w:r>
        <w:rPr>
          <w:rFonts w:ascii="Times New Roman" w:hAnsi="Times New Roman" w:eastAsia="宋体"/>
          <w:b w:val="0"/>
          <w:i w:val="0"/>
          <w:sz w:val="16"/>
          <w:vertAlign w:val="superscript"/>
        </w:rPr>
        <w:t>[4]</w:t>
      </w:r>
      <w:r>
        <w:rPr>
          <w:rFonts w:ascii="Times New Roman" w:hAnsi="Times New Roman" w:eastAsia="宋体"/>
          <w:b w:val="0"/>
          <w:i w:val="0"/>
          <w:sz w:val="21"/>
        </w:rPr>
        <w:t>。上述发现共同指向一个核心问题：什么样的受众特质决定了其对AI新闻的信任或怀疑？</w:t>
      </w:r>
    </w:p>
    <w:p w14:paraId="25E6F6C3">
      <w:pPr>
        <w:pStyle w:val="4"/>
        <w:keepNext/>
        <w:keepLines w:val="0"/>
        <w:spacing w:before="240" w:after="120" w:line="240" w:lineRule="auto"/>
        <w:jc w:val="left"/>
      </w:pPr>
      <w:bookmarkStart w:id="12" w:name="_Toc896764702"/>
      <w:r>
        <w:rPr>
          <w:rFonts w:ascii="Times New Roman" w:hAnsi="Times New Roman" w:eastAsia="黑体"/>
          <w:b/>
          <w:i w:val="0"/>
          <w:color w:val="000000"/>
          <w:sz w:val="30"/>
        </w:rPr>
        <w:t>2.2  AI素养与信任：系统式处理路径</w:t>
      </w:r>
      <w:bookmarkEnd w:id="12"/>
    </w:p>
    <w:p w14:paraId="45D1F2AC">
      <w:pPr>
        <w:pStyle w:val="5"/>
        <w:keepNext/>
        <w:keepLines w:val="0"/>
        <w:spacing w:before="240" w:after="120" w:line="240" w:lineRule="auto"/>
        <w:jc w:val="left"/>
      </w:pPr>
      <w:bookmarkStart w:id="13" w:name="_Toc884111868"/>
      <w:r>
        <w:rPr>
          <w:rFonts w:ascii="Times New Roman" w:hAnsi="Times New Roman" w:eastAsia="黑体"/>
          <w:b/>
          <w:i w:val="0"/>
          <w:color w:val="000000"/>
          <w:sz w:val="28"/>
        </w:rPr>
        <w:t>2.2.1  AI素养的概念与测量</w:t>
      </w:r>
      <w:bookmarkEnd w:id="13"/>
    </w:p>
    <w:p w14:paraId="65149CB2">
      <w:pPr>
        <w:keepNext w:val="0"/>
        <w:keepLines w:val="0"/>
        <w:spacing w:before="120" w:after="120" w:line="240" w:lineRule="auto"/>
        <w:ind w:firstLine="420"/>
        <w:jc w:val="both"/>
      </w:pPr>
      <w:r>
        <w:rPr>
          <w:rFonts w:ascii="Times New Roman" w:hAnsi="Times New Roman" w:eastAsia="宋体"/>
          <w:b w:val="0"/>
          <w:i w:val="0"/>
          <w:sz w:val="21"/>
        </w:rPr>
        <w:t>AI素养（AI literacy）是个体在人工智能时代参与公共生活的基础性能力。Long与Magerko（2020）将其定义为一组能够使个人批判性地评估AI技术、与AI有效协作并在日常情境中应用AI的能力集合，具体包括理解AI工作原理、批判性使用、识别AI的社会影响、有效协作以及反思AI伦理含义五个维度</w:t>
      </w:r>
      <w:r>
        <w:rPr>
          <w:rFonts w:ascii="Times New Roman" w:hAnsi="Times New Roman" w:eastAsia="宋体"/>
          <w:b w:val="0"/>
          <w:i w:val="0"/>
          <w:sz w:val="16"/>
          <w:vertAlign w:val="superscript"/>
        </w:rPr>
        <w:t>[5]</w:t>
      </w:r>
      <w:r>
        <w:rPr>
          <w:rFonts w:ascii="Times New Roman" w:hAnsi="Times New Roman" w:eastAsia="宋体"/>
          <w:b w:val="0"/>
          <w:i w:val="0"/>
          <w:sz w:val="21"/>
        </w:rPr>
        <w:t>。这一定义的核心意涵，是将AI素养理解为一种认知的主动性——不是“会用”，而是“能评”；不是被动接受，而是理性审视。</w:t>
      </w:r>
    </w:p>
    <w:p w14:paraId="0DFE4F43">
      <w:pPr>
        <w:pStyle w:val="5"/>
        <w:keepNext/>
        <w:keepLines w:val="0"/>
        <w:spacing w:before="240" w:after="120" w:line="240" w:lineRule="auto"/>
        <w:jc w:val="left"/>
      </w:pPr>
      <w:bookmarkStart w:id="14" w:name="_Toc828811883"/>
      <w:r>
        <w:rPr>
          <w:rFonts w:ascii="Times New Roman" w:hAnsi="Times New Roman" w:eastAsia="黑体"/>
          <w:b/>
          <w:i w:val="0"/>
          <w:color w:val="000000"/>
          <w:sz w:val="28"/>
        </w:rPr>
        <w:t>2.2.2  AI素养与AI新闻信任的关系</w:t>
      </w:r>
      <w:bookmarkEnd w:id="14"/>
    </w:p>
    <w:p w14:paraId="6C6B783D">
      <w:pPr>
        <w:keepNext w:val="0"/>
        <w:keepLines w:val="0"/>
        <w:spacing w:before="120" w:after="120" w:line="240" w:lineRule="auto"/>
        <w:ind w:firstLine="420"/>
        <w:jc w:val="both"/>
      </w:pPr>
      <w:r>
        <w:rPr>
          <w:rFonts w:ascii="Times New Roman" w:hAnsi="Times New Roman" w:eastAsia="宋体"/>
          <w:b w:val="0"/>
          <w:i w:val="0"/>
          <w:sz w:val="21"/>
        </w:rPr>
        <w:t>关于AI素养与信任的关系，现有研究呈现出“促进论”与“怀疑论”的张力。促进论认为，素养越高的受众对AI技术有更为理性和客观的认识，因而能够建立基于理解而非恐惧或盲目乐观的信任；怀疑论则指出，正因为高素养受众对AI的局限性看得更清楚，他们的批判性感知反而更强，由此产生更多的怀疑而非信任。Gondwe（2025）对非洲十国受众的调查提供了一个跨文化的参照：数字素养较高的年轻受众整体上更接受AI新闻，但这种接受程度在不同文化背景和透明度感知条件下存在显著差异，说明素养与信任之间并非简单的线性关系</w:t>
      </w:r>
      <w:r>
        <w:rPr>
          <w:rFonts w:ascii="Times New Roman" w:hAnsi="Times New Roman" w:eastAsia="宋体"/>
          <w:b w:val="0"/>
          <w:i w:val="0"/>
          <w:sz w:val="16"/>
          <w:vertAlign w:val="superscript"/>
        </w:rPr>
        <w:t>[6]</w:t>
      </w:r>
      <w:r>
        <w:rPr>
          <w:rFonts w:ascii="Times New Roman" w:hAnsi="Times New Roman" w:eastAsia="宋体"/>
          <w:b w:val="0"/>
          <w:i w:val="0"/>
          <w:sz w:val="21"/>
        </w:rPr>
        <w:t>。</w:t>
      </w:r>
    </w:p>
    <w:p w14:paraId="22CD2AA3">
      <w:pPr>
        <w:keepNext w:val="0"/>
        <w:keepLines w:val="0"/>
        <w:spacing w:before="120" w:after="120" w:line="240" w:lineRule="auto"/>
        <w:ind w:firstLine="420"/>
        <w:jc w:val="both"/>
      </w:pPr>
      <w:r>
        <w:rPr>
          <w:rFonts w:ascii="Times New Roman" w:hAnsi="Times New Roman" w:eastAsia="宋体"/>
          <w:b w:val="0"/>
          <w:i w:val="0"/>
          <w:sz w:val="21"/>
        </w:rPr>
        <w:t>本研究认为，化解这一争议的关键在于引入中介机制。AI素养对新闻信任的影响，可能并非通过直接作用于受众对具体内容的评价，而是通过改变受众对AI技术整体的信任判断来实现的。借助Sundar（2008）MAIN模型中的“机器启发式”（machine heuristic）概念，具备较高AI素养的受众更能系统性地理解AI技术的工作逻辑，从而激活对AI的正向认知评价，进而促进对AI新闻的信任</w:t>
      </w:r>
      <w:r>
        <w:rPr>
          <w:rFonts w:ascii="Times New Roman" w:hAnsi="Times New Roman" w:eastAsia="宋体"/>
          <w:b w:val="0"/>
          <w:i w:val="0"/>
          <w:sz w:val="16"/>
          <w:vertAlign w:val="superscript"/>
        </w:rPr>
        <w:t>[7]</w:t>
      </w:r>
      <w:r>
        <w:rPr>
          <w:rFonts w:ascii="Times New Roman" w:hAnsi="Times New Roman" w:eastAsia="宋体"/>
          <w:b w:val="0"/>
          <w:i w:val="0"/>
          <w:sz w:val="21"/>
        </w:rPr>
        <w:t>。</w:t>
      </w:r>
    </w:p>
    <w:p w14:paraId="22B2087E">
      <w:pPr>
        <w:keepNext w:val="0"/>
        <w:keepLines w:val="0"/>
        <w:spacing w:before="120" w:after="120" w:line="240" w:lineRule="auto"/>
        <w:ind w:firstLine="420"/>
        <w:jc w:val="both"/>
      </w:pPr>
      <w:r>
        <w:rPr>
          <w:rFonts w:ascii="Times New Roman" w:hAnsi="Times New Roman" w:eastAsia="宋体"/>
          <w:b w:val="0"/>
          <w:i w:val="0"/>
          <w:sz w:val="21"/>
        </w:rPr>
        <w:t>H1：AI素养越高，受众的AI技术信任越强（β&gt;0）。</w:t>
      </w:r>
    </w:p>
    <w:p w14:paraId="5F6AF361">
      <w:pPr>
        <w:pStyle w:val="4"/>
        <w:keepNext/>
        <w:keepLines w:val="0"/>
        <w:spacing w:before="240" w:after="120" w:line="240" w:lineRule="auto"/>
        <w:jc w:val="left"/>
      </w:pPr>
      <w:bookmarkStart w:id="15" w:name="_Toc1262383139"/>
      <w:r>
        <w:rPr>
          <w:rFonts w:ascii="Times New Roman" w:hAnsi="Times New Roman" w:eastAsia="黑体"/>
          <w:b/>
          <w:i w:val="0"/>
          <w:color w:val="000000"/>
          <w:sz w:val="30"/>
        </w:rPr>
        <w:t>2.3  AI新闻接触经验与信任：启发式处理路径</w:t>
      </w:r>
      <w:bookmarkEnd w:id="15"/>
    </w:p>
    <w:p w14:paraId="3FDC367D">
      <w:pPr>
        <w:pStyle w:val="5"/>
        <w:keepNext/>
        <w:keepLines w:val="0"/>
        <w:spacing w:before="240" w:after="120" w:line="240" w:lineRule="auto"/>
        <w:jc w:val="left"/>
      </w:pPr>
      <w:bookmarkStart w:id="16" w:name="_Toc1882468460"/>
      <w:r>
        <w:rPr>
          <w:rFonts w:ascii="Times New Roman" w:hAnsi="Times New Roman" w:eastAsia="黑体"/>
          <w:b/>
          <w:i w:val="0"/>
          <w:color w:val="000000"/>
          <w:sz w:val="28"/>
        </w:rPr>
        <w:t>2.3.1  接触经验影响信任的理论依据</w:t>
      </w:r>
      <w:bookmarkEnd w:id="16"/>
    </w:p>
    <w:p w14:paraId="4AE8FCA7">
      <w:pPr>
        <w:keepNext w:val="0"/>
        <w:keepLines w:val="0"/>
        <w:spacing w:before="120" w:after="120" w:line="240" w:lineRule="auto"/>
        <w:ind w:firstLine="420"/>
        <w:jc w:val="both"/>
      </w:pPr>
      <w:r>
        <w:rPr>
          <w:rFonts w:ascii="Times New Roman" w:hAnsi="Times New Roman" w:eastAsia="宋体"/>
          <w:b w:val="0"/>
          <w:i w:val="0"/>
          <w:sz w:val="21"/>
        </w:rPr>
        <w:t>如果说AI素养代表的是一种认知性的“知道”，那么AI新闻接触经验代表的则是一种更为切身的体验性知识——它更具体、更感性，也更容易在日积月累中形成难以逆转的直觉判断。聂静虹和</w:t>
      </w:r>
      <w:r>
        <w:rPr>
          <w:rFonts w:hint="eastAsia" w:ascii="Times New Roman" w:hAnsi="Times New Roman" w:eastAsia="宋体"/>
          <w:b w:val="0"/>
          <w:i w:val="0"/>
          <w:sz w:val="21"/>
          <w:lang w:eastAsia="zh-CN"/>
        </w:rPr>
        <w:t>李肖楠</w:t>
      </w:r>
      <w:r>
        <w:rPr>
          <w:rFonts w:ascii="Times New Roman" w:hAnsi="Times New Roman" w:eastAsia="宋体"/>
          <w:b w:val="0"/>
          <w:i w:val="0"/>
          <w:sz w:val="21"/>
        </w:rPr>
        <w:t>（2025）通过对25位主流媒体从业者的深度访谈指出，生成式AI带来的“幻觉”问题——事实虚构、语境错配和逻辑断裂——会对新闻真实性与媒体公信力造成连锁性损害</w:t>
      </w:r>
      <w:r>
        <w:rPr>
          <w:rFonts w:ascii="Times New Roman" w:hAnsi="Times New Roman" w:eastAsia="宋体"/>
          <w:b w:val="0"/>
          <w:i w:val="0"/>
          <w:sz w:val="16"/>
          <w:vertAlign w:val="superscript"/>
        </w:rPr>
        <w:t>[8]</w:t>
      </w:r>
      <w:r>
        <w:rPr>
          <w:rFonts w:ascii="Times New Roman" w:hAnsi="Times New Roman" w:eastAsia="宋体"/>
          <w:b w:val="0"/>
          <w:i w:val="0"/>
          <w:sz w:val="21"/>
        </w:rPr>
        <w:t>。这一来自新闻生产端的观察与受众消费端的体验形成呼应：频繁接触AI新闻的受众，更可能在日常阅读中积累这类负面体验，并逐渐形成对AI技术的启发式负向判断。</w:t>
      </w:r>
    </w:p>
    <w:p w14:paraId="6AEC6252">
      <w:pPr>
        <w:keepNext w:val="0"/>
        <w:keepLines w:val="0"/>
        <w:spacing w:before="120" w:after="120" w:line="240" w:lineRule="auto"/>
        <w:ind w:firstLine="420"/>
        <w:jc w:val="both"/>
      </w:pPr>
      <w:r>
        <w:rPr>
          <w:rFonts w:ascii="Times New Roman" w:hAnsi="Times New Roman" w:eastAsia="宋体"/>
          <w:b w:val="0"/>
          <w:i w:val="0"/>
          <w:sz w:val="21"/>
        </w:rPr>
        <w:t>期望违背理论（Expectancy Violation Theory）为这一逻辑提供了经典的理论支撑（Burgoon，2015）</w:t>
      </w:r>
      <w:r>
        <w:rPr>
          <w:rFonts w:ascii="Times New Roman" w:hAnsi="Times New Roman" w:eastAsia="宋体"/>
          <w:b w:val="0"/>
          <w:i w:val="0"/>
          <w:sz w:val="16"/>
          <w:vertAlign w:val="superscript"/>
        </w:rPr>
        <w:t>[9]</w:t>
      </w:r>
      <w:r>
        <w:rPr>
          <w:rFonts w:ascii="Times New Roman" w:hAnsi="Times New Roman" w:eastAsia="宋体"/>
          <w:b w:val="0"/>
          <w:i w:val="0"/>
          <w:sz w:val="21"/>
        </w:rPr>
        <w:t>。受众在初次接触AI新闻时，往往抱有“机器更客观、更准确”的朴素期望。然而，真实的阅读体验</w:t>
      </w:r>
      <w:r>
        <w:rPr>
          <w:rFonts w:hint="eastAsia"/>
          <w:b w:val="0"/>
          <w:i w:val="0"/>
          <w:sz w:val="21"/>
          <w:lang w:eastAsia="zh-CN"/>
        </w:rPr>
        <w:t>——</w:t>
      </w:r>
      <w:r>
        <w:rPr>
          <w:rFonts w:ascii="Times New Roman" w:hAnsi="Times New Roman" w:eastAsia="宋体"/>
          <w:b w:val="0"/>
          <w:i w:val="0"/>
          <w:sz w:val="21"/>
        </w:rPr>
        <w:t>错误的事实、机械的叙事、冷漠的语言</w:t>
      </w:r>
      <w:r>
        <w:rPr>
          <w:rFonts w:hint="eastAsia"/>
          <w:b w:val="0"/>
          <w:i w:val="0"/>
          <w:sz w:val="21"/>
          <w:lang w:eastAsia="zh-CN"/>
        </w:rPr>
        <w:t>，</w:t>
      </w:r>
      <w:r>
        <w:rPr>
          <w:rFonts w:ascii="Times New Roman" w:hAnsi="Times New Roman" w:eastAsia="宋体"/>
          <w:b w:val="0"/>
          <w:i w:val="0"/>
          <w:sz w:val="21"/>
        </w:rPr>
        <w:t>不断打破这种期望。受众对AI新闻的信任度会随之下降，且这种降幅取决于实际体验与预期之间的差距。姚琳和周赟（2022）的实验研究进一步证明，AI写作对新闻可信度的影响并非铁板一块，而是受到新闻类型（软新闻/硬新闻）的调节，也就是感知偏见在不同内容情境下产生不同的信任效应</w:t>
      </w:r>
      <w:r>
        <w:rPr>
          <w:rFonts w:ascii="Times New Roman" w:hAnsi="Times New Roman" w:eastAsia="宋体"/>
          <w:b w:val="0"/>
          <w:i w:val="0"/>
          <w:sz w:val="16"/>
          <w:vertAlign w:val="superscript"/>
        </w:rPr>
        <w:t>[10]</w:t>
      </w:r>
      <w:r>
        <w:rPr>
          <w:rFonts w:ascii="Times New Roman" w:hAnsi="Times New Roman" w:eastAsia="宋体"/>
          <w:b w:val="0"/>
          <w:i w:val="0"/>
          <w:sz w:val="21"/>
        </w:rPr>
        <w:t>。</w:t>
      </w:r>
    </w:p>
    <w:p w14:paraId="73F2527F">
      <w:pPr>
        <w:pStyle w:val="5"/>
        <w:keepNext/>
        <w:keepLines w:val="0"/>
        <w:spacing w:before="240" w:after="120" w:line="240" w:lineRule="auto"/>
        <w:jc w:val="left"/>
      </w:pPr>
      <w:bookmarkStart w:id="17" w:name="_Toc1918319616"/>
      <w:r>
        <w:rPr>
          <w:rFonts w:ascii="Times New Roman" w:hAnsi="Times New Roman" w:eastAsia="黑体"/>
          <w:b/>
          <w:i w:val="0"/>
          <w:color w:val="000000"/>
          <w:sz w:val="28"/>
        </w:rPr>
        <w:t>2.3.2  启发式加工的角色</w:t>
      </w:r>
      <w:bookmarkEnd w:id="17"/>
    </w:p>
    <w:p w14:paraId="422991D8">
      <w:pPr>
        <w:keepNext w:val="0"/>
        <w:keepLines w:val="0"/>
        <w:spacing w:before="120" w:after="120" w:line="240" w:lineRule="auto"/>
        <w:ind w:firstLine="420"/>
        <w:jc w:val="both"/>
      </w:pPr>
      <w:r>
        <w:rPr>
          <w:rFonts w:ascii="Times New Roman" w:hAnsi="Times New Roman" w:eastAsia="宋体"/>
          <w:b w:val="0"/>
          <w:i w:val="0"/>
          <w:sz w:val="21"/>
        </w:rPr>
        <w:t>从信息处理的机制层面看，高频接触AI新闻更容易触发启发式加工而非系统式加工。Chaiken（1980）提出的HSM的核心主张，是存在两种根本不同的信息处理模式：系统式加工依赖对信息内容的深度分析；而启发式加工则依赖简单的认知线索和直觉判断</w:t>
      </w:r>
      <w:r>
        <w:rPr>
          <w:rFonts w:ascii="Times New Roman" w:hAnsi="Times New Roman" w:eastAsia="宋体"/>
          <w:b w:val="0"/>
          <w:i w:val="0"/>
          <w:sz w:val="16"/>
          <w:vertAlign w:val="superscript"/>
        </w:rPr>
        <w:t>[11]</w:t>
      </w:r>
      <w:r>
        <w:rPr>
          <w:rFonts w:ascii="Times New Roman" w:hAnsi="Times New Roman" w:eastAsia="宋体"/>
          <w:b w:val="0"/>
          <w:i w:val="0"/>
          <w:sz w:val="21"/>
        </w:rPr>
        <w:t>。HSM的充足性原则（Sufficiency Principle）指出，启发式加工是人们的默认模式——只有当准确性动机和认知能力都足够充分时，才会切换到系统式加工。需要说明的是，接触频率本身并不等同于启发式加工，而是更容易触发启发式加工的情境条件。对于高频接触AI新闻的受众而言，大量同质化内容的重复呈现会降低其准确性动机，使其更可能依赖整体印象而非逐篇深度分析，从而在概率上更频繁地走向启发式判断路径。Khalifa（2022）在其关于HSM在传播学研究中应用的综述中也指出，信息过载情境正是启发式线索主导判断的典型场域</w:t>
      </w:r>
      <w:r>
        <w:rPr>
          <w:rFonts w:ascii="Times New Roman" w:hAnsi="Times New Roman" w:eastAsia="宋体"/>
          <w:b w:val="0"/>
          <w:i w:val="0"/>
          <w:sz w:val="16"/>
          <w:vertAlign w:val="superscript"/>
        </w:rPr>
        <w:t>[12]</w:t>
      </w:r>
      <w:r>
        <w:rPr>
          <w:rFonts w:ascii="Times New Roman" w:hAnsi="Times New Roman" w:eastAsia="宋体"/>
          <w:b w:val="0"/>
          <w:i w:val="0"/>
          <w:sz w:val="21"/>
        </w:rPr>
        <w:t>。</w:t>
      </w:r>
    </w:p>
    <w:p w14:paraId="49EC6D30">
      <w:pPr>
        <w:keepNext w:val="0"/>
        <w:keepLines w:val="0"/>
        <w:spacing w:before="120" w:after="120" w:line="240" w:lineRule="auto"/>
        <w:ind w:firstLine="420"/>
        <w:jc w:val="both"/>
      </w:pPr>
      <w:r>
        <w:rPr>
          <w:rFonts w:ascii="Times New Roman" w:hAnsi="Times New Roman" w:eastAsia="宋体"/>
          <w:b w:val="0"/>
          <w:i w:val="0"/>
          <w:sz w:val="21"/>
        </w:rPr>
        <w:t>H2：AI新闻接触频率越高，受众的AI技术信任越弱（β&lt;0）。</w:t>
      </w:r>
    </w:p>
    <w:p w14:paraId="367F4636">
      <w:pPr>
        <w:pStyle w:val="4"/>
        <w:keepNext/>
        <w:keepLines w:val="0"/>
        <w:spacing w:before="240" w:after="120" w:line="240" w:lineRule="auto"/>
        <w:jc w:val="left"/>
      </w:pPr>
      <w:bookmarkStart w:id="18" w:name="_Toc1025793701"/>
      <w:r>
        <w:rPr>
          <w:rFonts w:ascii="Times New Roman" w:hAnsi="Times New Roman" w:eastAsia="黑体"/>
          <w:b/>
          <w:i w:val="0"/>
          <w:color w:val="000000"/>
          <w:sz w:val="30"/>
        </w:rPr>
        <w:t>2.4  AI技术信任的中介作用</w:t>
      </w:r>
      <w:bookmarkEnd w:id="18"/>
    </w:p>
    <w:p w14:paraId="2813C5C7">
      <w:pPr>
        <w:keepNext w:val="0"/>
        <w:keepLines w:val="0"/>
        <w:spacing w:before="120" w:after="120" w:line="240" w:lineRule="auto"/>
        <w:ind w:firstLine="420"/>
        <w:jc w:val="both"/>
      </w:pPr>
      <w:r>
        <w:rPr>
          <w:rFonts w:ascii="Times New Roman" w:hAnsi="Times New Roman" w:eastAsia="宋体"/>
          <w:b w:val="0"/>
          <w:i w:val="0"/>
          <w:sz w:val="21"/>
        </w:rPr>
        <w:t>H1与H2揭示了两条方向相反的路径，将其纳入同一框架的关键在于AI技术信任这一中介变量。白红义和万旭琪（2025）的“人机信任”框架提供了重要的理论依据：受众在评价任何具体的AI新闻之前，首先形成的是对AI作为行动者的整体信任判断，再由这一判断延伸至对具体内容的评价</w:t>
      </w:r>
      <w:r>
        <w:rPr>
          <w:rFonts w:ascii="Times New Roman" w:hAnsi="Times New Roman" w:eastAsia="宋体"/>
          <w:b w:val="0"/>
          <w:i w:val="0"/>
          <w:sz w:val="16"/>
          <w:vertAlign w:val="superscript"/>
        </w:rPr>
        <w:t>[1]</w:t>
      </w:r>
      <w:r>
        <w:rPr>
          <w:rFonts w:ascii="Times New Roman" w:hAnsi="Times New Roman" w:eastAsia="宋体"/>
          <w:b w:val="0"/>
          <w:i w:val="0"/>
          <w:sz w:val="21"/>
        </w:rPr>
        <w:t>。这意味着，无论是AI素养通过系统式认知路径提升了对AI技术的整体信任，还是AI新闻接触经验通过启发式体验路径侵蚀了这种信任，其最终对AI新闻信任的影响，都是经由这一技术信任的中枢来传递的。</w:t>
      </w:r>
    </w:p>
    <w:p w14:paraId="4FFD7158">
      <w:pPr>
        <w:keepNext w:val="0"/>
        <w:keepLines w:val="0"/>
        <w:spacing w:before="120" w:after="120" w:line="240" w:lineRule="auto"/>
        <w:ind w:firstLine="420"/>
        <w:jc w:val="both"/>
      </w:pPr>
      <w:r>
        <w:rPr>
          <w:rFonts w:ascii="Times New Roman" w:hAnsi="Times New Roman" w:eastAsia="宋体"/>
          <w:b w:val="0"/>
          <w:i w:val="0"/>
          <w:sz w:val="21"/>
        </w:rPr>
        <w:t>将AI技术信任引入模型，还能解释一个重要的现象：为什么直接检验AI素养与AI新闻信任的关系，往往得到不稳定甚至相互矛盾的结论？因为在忽视中介机制的情况下，研究者看到的只是两股力量叠加后的净效应，而无法识别各自的方向与强度。本研究通过区分直接效应与间接效应，正是为了将这一被掩盖的复杂性显性化。H3：AI技术信任对AI新闻信任有显著正向影响（β&gt;0）。H4：AI技术信任在AI素养/AI新闻接触频率与AI新闻信任之间起中介作用。</w:t>
      </w:r>
    </w:p>
    <w:p w14:paraId="07CD529B">
      <w:pPr>
        <w:pStyle w:val="4"/>
        <w:keepNext/>
        <w:keepLines w:val="0"/>
        <w:spacing w:before="240" w:after="120" w:line="240" w:lineRule="auto"/>
        <w:jc w:val="left"/>
      </w:pPr>
      <w:bookmarkStart w:id="19" w:name="_Toc516014591"/>
      <w:r>
        <w:rPr>
          <w:rFonts w:ascii="Times New Roman" w:hAnsi="Times New Roman" w:eastAsia="黑体"/>
          <w:b/>
          <w:i w:val="0"/>
          <w:color w:val="000000"/>
          <w:sz w:val="30"/>
        </w:rPr>
        <w:t>2.5  媒体信任的调节作用</w:t>
      </w:r>
      <w:bookmarkEnd w:id="19"/>
    </w:p>
    <w:p w14:paraId="6C87C7F8">
      <w:pPr>
        <w:keepNext w:val="0"/>
        <w:keepLines w:val="0"/>
        <w:spacing w:before="120" w:after="120" w:line="240" w:lineRule="auto"/>
        <w:ind w:firstLine="420"/>
        <w:jc w:val="both"/>
      </w:pPr>
      <w:r>
        <w:rPr>
          <w:rFonts w:ascii="Times New Roman" w:hAnsi="Times New Roman" w:eastAsia="宋体"/>
          <w:b w:val="0"/>
          <w:i w:val="0"/>
          <w:sz w:val="21"/>
        </w:rPr>
        <w:t>在理论模型的最后一层，本研究引入媒体信任作为调节变量，聚焦一个更为细腻的问题：同样频繁接触AI新闻，对媒体持高度信任的受众，与对媒体持怀疑态度的受众，体验到的信任冲击是否一样？</w:t>
      </w:r>
    </w:p>
    <w:p w14:paraId="3E4964E4">
      <w:pPr>
        <w:keepNext w:val="0"/>
        <w:keepLines w:val="0"/>
        <w:spacing w:before="120" w:after="120" w:line="240" w:lineRule="auto"/>
        <w:ind w:firstLine="420"/>
        <w:jc w:val="both"/>
      </w:pPr>
      <w:r>
        <w:rPr>
          <w:rFonts w:ascii="Times New Roman" w:hAnsi="Times New Roman" w:eastAsia="宋体"/>
          <w:b w:val="0"/>
          <w:i w:val="0"/>
          <w:sz w:val="21"/>
        </w:rPr>
        <w:t>Toff与Simon（2025）的研究提供了一个关键线索：AI披露对信任的负向效应，恰恰集中于原本信任度最高的受众群体</w:t>
      </w:r>
      <w:r>
        <w:rPr>
          <w:rFonts w:ascii="Times New Roman" w:hAnsi="Times New Roman" w:eastAsia="宋体"/>
          <w:b w:val="0"/>
          <w:i w:val="0"/>
          <w:sz w:val="16"/>
          <w:vertAlign w:val="superscript"/>
        </w:rPr>
        <w:t>[4]</w:t>
      </w:r>
      <w:r>
        <w:rPr>
          <w:rFonts w:ascii="Times New Roman" w:hAnsi="Times New Roman" w:eastAsia="宋体"/>
          <w:b w:val="0"/>
          <w:i w:val="0"/>
          <w:sz w:val="21"/>
        </w:rPr>
        <w:t>。这一“高信任者反而更脆弱”的悖论，可以从期望落差的视角加以理解——对媒体本已抱有高度信任的受众，其隐性的质量期望也相应更高；当AI新闻的实际表现，比如内容浅薄、事实存疑、缺乏深度，未能达到这一期望时，落差感的强度与原有信任的高度成正比。Borchardt等（2024）对40位媒体领袖的深度访谈同样指出，在生成式AI时代维护新闻公信力的关键挑战，正在于如何管理那些对新闻机构原本持有高期望的核心受众</w:t>
      </w:r>
      <w:r>
        <w:rPr>
          <w:rFonts w:ascii="Times New Roman" w:hAnsi="Times New Roman" w:eastAsia="宋体"/>
          <w:b w:val="0"/>
          <w:i w:val="0"/>
          <w:sz w:val="16"/>
          <w:vertAlign w:val="superscript"/>
        </w:rPr>
        <w:t>[13]</w:t>
      </w:r>
      <w:r>
        <w:rPr>
          <w:rFonts w:ascii="Times New Roman" w:hAnsi="Times New Roman" w:eastAsia="宋体"/>
          <w:b w:val="0"/>
          <w:i w:val="0"/>
          <w:sz w:val="21"/>
        </w:rPr>
        <w:t>。H5：媒体信任负向调节AI新闻接触频率对AI技术信任的影响，即媒体信任越高，AI新闻接触频率对AI技术信任的负向效应越强。</w:t>
      </w:r>
    </w:p>
    <w:p w14:paraId="47FF8381">
      <w:pPr>
        <w:pStyle w:val="4"/>
        <w:keepNext/>
        <w:keepLines w:val="0"/>
        <w:spacing w:before="240" w:after="120" w:line="240" w:lineRule="auto"/>
        <w:jc w:val="left"/>
      </w:pPr>
      <w:bookmarkStart w:id="20" w:name="_Toc1118264351"/>
      <w:r>
        <w:rPr>
          <w:rFonts w:ascii="Times New Roman" w:hAnsi="Times New Roman" w:eastAsia="黑体"/>
          <w:b/>
          <w:i w:val="0"/>
          <w:color w:val="000000"/>
          <w:sz w:val="30"/>
        </w:rPr>
        <w:t>2.6  理论框架与研究模型</w:t>
      </w:r>
      <w:bookmarkEnd w:id="20"/>
    </w:p>
    <w:p w14:paraId="3D1299AA">
      <w:pPr>
        <w:keepNext w:val="0"/>
        <w:keepLines w:val="0"/>
        <w:spacing w:before="120" w:after="12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综合以上文献梳理与理论推演，本研究的核心命题可以概括为：在智能传播时代，公众对AI新闻的信任由认知与经验两条截然相反的路径共同塑造，并通过AI技术信任这一核心中介加以汇聚。“懂AI”（高AI素养）通过系统式认知路径，经由AI技术信任的提升，正向影响AI新闻信任；“频繁用AI新闻”（高接触频率）通过启发式体验路径，经由AI技术信任的侵蚀，负向影响AI新闻信任；媒体信任则对接触经验的这条负向路径起调节作用，信任越高的受众，其接触经验对AI技术信任的负向效应越强。研究模型见图1。</w:t>
      </w:r>
    </w:p>
    <w:p w14:paraId="3E3FDA9D">
      <w:pPr>
        <w:keepNext w:val="0"/>
        <w:keepLines w:val="0"/>
        <w:spacing w:before="120" w:after="120" w:line="240" w:lineRule="auto"/>
        <w:ind w:firstLine="420"/>
        <w:jc w:val="both"/>
        <w:rPr>
          <w:rFonts w:ascii="Times New Roman" w:hAnsi="Times New Roman" w:eastAsia="宋体"/>
          <w:b w:val="0"/>
          <w:i w:val="0"/>
          <w:sz w:val="21"/>
        </w:rPr>
      </w:pPr>
    </w:p>
    <w:p w14:paraId="56B1AA68">
      <w:pPr>
        <w:pStyle w:val="15"/>
        <w:keepNext w:val="0"/>
        <w:keepLines w:val="0"/>
        <w:spacing w:before="120" w:after="120"/>
        <w:jc w:val="center"/>
        <w:rPr>
          <w:rFonts w:hint="eastAsia" w:ascii="Times New Roman" w:eastAsia="宋体"/>
          <w:b w:val="0"/>
          <w:bCs w:val="0"/>
          <w:i w:val="0"/>
          <w:iCs w:val="0"/>
          <w:color w:val="000000"/>
          <w:sz w:val="21"/>
          <w:szCs w:val="21"/>
          <w:lang w:eastAsia="zh-CN"/>
        </w:rPr>
      </w:pPr>
      <w:r>
        <w:rPr>
          <w:rFonts w:hint="eastAsia" w:ascii="宋体" w:hAnsi="宋体" w:eastAsia="宋体" w:cs="宋体"/>
          <w:b w:val="0"/>
          <w:bCs w:val="0"/>
          <w:color w:val="auto"/>
          <w:sz w:val="18"/>
          <w:szCs w:val="18"/>
        </w:rPr>
        <w:t xml:space="preserve">图 </w:t>
      </w:r>
      <w:r>
        <w:rPr>
          <w:rFonts w:hint="eastAsia" w:ascii="宋体" w:hAnsi="宋体" w:eastAsia="宋体" w:cs="宋体"/>
          <w:b w:val="0"/>
          <w:bCs w:val="0"/>
          <w:color w:val="auto"/>
          <w:sz w:val="18"/>
          <w:szCs w:val="18"/>
        </w:rPr>
        <w:fldChar w:fldCharType="begin"/>
      </w:r>
      <w:r>
        <w:rPr>
          <w:rFonts w:hint="eastAsia" w:ascii="宋体" w:hAnsi="宋体" w:eastAsia="宋体" w:cs="宋体"/>
          <w:b w:val="0"/>
          <w:bCs w:val="0"/>
          <w:color w:val="auto"/>
          <w:sz w:val="18"/>
          <w:szCs w:val="18"/>
        </w:rPr>
        <w:instrText xml:space="preserve"> SEQ 图 \* ARABIC </w:instrText>
      </w:r>
      <w:r>
        <w:rPr>
          <w:rFonts w:hint="eastAsia" w:ascii="宋体" w:hAnsi="宋体" w:eastAsia="宋体" w:cs="宋体"/>
          <w:b w:val="0"/>
          <w:bCs w:val="0"/>
          <w:color w:val="auto"/>
          <w:sz w:val="18"/>
          <w:szCs w:val="18"/>
        </w:rPr>
        <w:fldChar w:fldCharType="separate"/>
      </w:r>
      <w:r>
        <w:rPr>
          <w:rFonts w:hint="eastAsia" w:ascii="宋体" w:hAnsi="宋体" w:eastAsia="宋体" w:cs="宋体"/>
          <w:b w:val="0"/>
          <w:bCs w:val="0"/>
          <w:color w:val="auto"/>
          <w:sz w:val="18"/>
          <w:szCs w:val="18"/>
        </w:rPr>
        <w:t>1</w:t>
      </w:r>
      <w:r>
        <w:rPr>
          <w:rFonts w:hint="eastAsia" w:ascii="宋体" w:hAnsi="宋体" w:eastAsia="宋体" w:cs="宋体"/>
          <w:b w:val="0"/>
          <w:bCs w:val="0"/>
          <w:color w:val="auto"/>
          <w:sz w:val="18"/>
          <w:szCs w:val="18"/>
        </w:rPr>
        <w:fldChar w:fldCharType="end"/>
      </w:r>
      <w:r>
        <w:rPr>
          <w:rFonts w:hint="eastAsia" w:ascii="宋体" w:hAnsi="宋体" w:eastAsia="宋体" w:cs="宋体"/>
          <w:b w:val="0"/>
          <w:bCs w:val="0"/>
          <w:color w:val="auto"/>
          <w:sz w:val="18"/>
          <w:szCs w:val="18"/>
          <w:lang w:val="en-US"/>
        </w:rPr>
        <w:t xml:space="preserve"> 研究理论模型</w:t>
      </w:r>
    </w:p>
    <w:p w14:paraId="12501F16">
      <w:pPr>
        <w:keepNext w:val="0"/>
        <w:keepLines w:val="0"/>
        <w:spacing w:before="120" w:after="120"/>
        <w:jc w:val="center"/>
        <w:rPr>
          <w:rFonts w:hint="eastAsia" w:ascii="Times New Roman" w:eastAsia="宋体"/>
          <w:b w:val="0"/>
          <w:bCs w:val="0"/>
          <w:i w:val="0"/>
          <w:iCs w:val="0"/>
          <w:color w:val="000000"/>
          <w:sz w:val="21"/>
          <w:szCs w:val="21"/>
          <w:lang w:eastAsia="zh-CN"/>
        </w:rPr>
      </w:pPr>
      <w:r>
        <w:drawing>
          <wp:inline distT="0" distB="0" distL="114300" distR="114300">
            <wp:extent cx="5566410" cy="1408430"/>
            <wp:effectExtent l="0" t="0" r="2159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66410" cy="1408430"/>
                    </a:xfrm>
                    <a:prstGeom prst="rect">
                      <a:avLst/>
                    </a:prstGeom>
                    <a:noFill/>
                    <a:ln>
                      <a:noFill/>
                    </a:ln>
                  </pic:spPr>
                </pic:pic>
              </a:graphicData>
            </a:graphic>
          </wp:inline>
        </w:drawing>
      </w:r>
    </w:p>
    <w:p w14:paraId="2B05175A">
      <w:pPr>
        <w:keepNext w:val="0"/>
        <w:keepLines w:val="0"/>
        <w:spacing w:before="120" w:after="120"/>
        <w:jc w:val="center"/>
      </w:pPr>
      <w:r>
        <w:br w:type="page"/>
      </w:r>
    </w:p>
    <w:p w14:paraId="65F67CF3">
      <w:pPr>
        <w:pStyle w:val="3"/>
        <w:keepNext/>
        <w:keepLines w:val="0"/>
        <w:spacing w:before="360" w:after="240" w:line="240" w:lineRule="auto"/>
        <w:jc w:val="left"/>
      </w:pPr>
      <w:bookmarkStart w:id="21" w:name="_Toc2039552360"/>
      <w:r>
        <w:rPr>
          <w:rFonts w:ascii="Times New Roman" w:hAnsi="Times New Roman" w:eastAsia="黑体"/>
          <w:b/>
          <w:i w:val="0"/>
          <w:color w:val="000000"/>
          <w:sz w:val="32"/>
        </w:rPr>
        <w:t>3  研究方法</w:t>
      </w:r>
      <w:bookmarkEnd w:id="21"/>
    </w:p>
    <w:p w14:paraId="261050F0">
      <w:pPr>
        <w:pStyle w:val="4"/>
        <w:keepNext/>
        <w:keepLines w:val="0"/>
        <w:spacing w:before="240" w:after="120" w:line="240" w:lineRule="auto"/>
        <w:jc w:val="left"/>
      </w:pPr>
      <w:bookmarkStart w:id="22" w:name="_Toc622541106"/>
      <w:r>
        <w:rPr>
          <w:rFonts w:ascii="Times New Roman" w:hAnsi="Times New Roman" w:eastAsia="黑体"/>
          <w:b/>
          <w:i w:val="0"/>
          <w:color w:val="000000"/>
          <w:sz w:val="30"/>
        </w:rPr>
        <w:t>3.1  数据来源与样本说明</w:t>
      </w:r>
      <w:bookmarkEnd w:id="22"/>
    </w:p>
    <w:p w14:paraId="04A64E6C">
      <w:pPr>
        <w:keepNext w:val="0"/>
        <w:keepLines w:val="0"/>
        <w:spacing w:before="120" w:after="120" w:line="240" w:lineRule="auto"/>
        <w:ind w:firstLine="420"/>
        <w:jc w:val="both"/>
      </w:pPr>
      <w:r>
        <w:rPr>
          <w:rFonts w:ascii="Times New Roman" w:hAnsi="Times New Roman" w:eastAsia="宋体"/>
          <w:b w:val="0"/>
          <w:i w:val="0"/>
          <w:sz w:val="21"/>
        </w:rPr>
        <w:t>本研究数据来源于</w:t>
      </w:r>
      <w:r>
        <w:rPr>
          <w:rFonts w:hint="eastAsia"/>
          <w:b w:val="0"/>
          <w:i w:val="0"/>
          <w:sz w:val="21"/>
          <w:lang w:eastAsia="zh-CN"/>
        </w:rPr>
        <w:t>“</w:t>
      </w:r>
      <w:r>
        <w:rPr>
          <w:rFonts w:ascii="Times New Roman" w:hAnsi="Times New Roman" w:eastAsia="宋体"/>
          <w:b w:val="0"/>
          <w:i w:val="0"/>
          <w:sz w:val="21"/>
        </w:rPr>
        <w:t>全球新闻学调研</w:t>
      </w:r>
      <w:r>
        <w:rPr>
          <w:rFonts w:hint="default" w:ascii="Times New Roman" w:hAnsi="Times New Roman" w:eastAsia="宋体"/>
          <w:b w:val="0"/>
          <w:i w:val="0"/>
          <w:sz w:val="21"/>
          <w:lang w:val="en-US"/>
        </w:rPr>
        <w:t>”</w:t>
      </w:r>
      <w:r>
        <w:rPr>
          <w:rFonts w:ascii="Times New Roman" w:hAnsi="Times New Roman" w:eastAsia="宋体"/>
          <w:b w:val="0"/>
          <w:i w:val="0"/>
          <w:sz w:val="21"/>
        </w:rPr>
        <w:t>（Global Journalism Survey）项目中的中国大陆子样本。该项目由本研究所在课题组设计，采用在线问卷形式，通过专业调查平台面向中国大陆受众进行抽样调查。原始样本量为1000人，剔除AI新闻接触频率题项中回答“不知道自己是否阅读过AI新闻”（选项6）的96名受访者后，最终有效样本量为904人（n=904）。</w:t>
      </w:r>
    </w:p>
    <w:p w14:paraId="4B09F0F7">
      <w:pPr>
        <w:keepNext w:val="0"/>
        <w:keepLines w:val="0"/>
        <w:spacing w:before="120" w:after="120" w:line="240" w:lineRule="auto"/>
        <w:ind w:firstLine="420"/>
        <w:jc w:val="both"/>
      </w:pPr>
      <w:r>
        <w:rPr>
          <w:rFonts w:ascii="Times New Roman" w:hAnsi="Times New Roman" w:eastAsia="宋体"/>
          <w:b w:val="0"/>
          <w:i w:val="0"/>
          <w:sz w:val="21"/>
        </w:rPr>
        <w:t>样本基本情况如下：性别方面，男性占47.3%，女性占52.7%；年龄方面，18至34岁占59.2%，35至49岁占30.1%，50岁及以上占10.7%；教育程度方面，大专及以下占28.4%，本科占54.1%，硕士及以上占17.5%；职业方面，学生占21.6%，专业技术人员占28.3%，企业职员占22.1%，其余为其他职业类型。样本覆盖中国大陆多个省份，但以年轻、高学历、城市受众为主，研究结论的适用范围主要为具有一定AI使用经验的城市网民群体，向全体中国受众的推论应保持审慎。</w:t>
      </w:r>
    </w:p>
    <w:p w14:paraId="74268B06">
      <w:pPr>
        <w:pStyle w:val="4"/>
        <w:keepNext/>
        <w:keepLines w:val="0"/>
        <w:spacing w:before="240" w:after="120" w:line="240" w:lineRule="auto"/>
        <w:jc w:val="left"/>
      </w:pPr>
      <w:bookmarkStart w:id="23" w:name="_Toc508040358"/>
      <w:r>
        <w:rPr>
          <w:rFonts w:ascii="Times New Roman" w:hAnsi="Times New Roman" w:eastAsia="黑体"/>
          <w:b/>
          <w:i w:val="0"/>
          <w:color w:val="000000"/>
          <w:sz w:val="30"/>
        </w:rPr>
        <w:t>3.2  变量测量</w:t>
      </w:r>
      <w:bookmarkEnd w:id="23"/>
    </w:p>
    <w:p w14:paraId="535D681B">
      <w:pPr>
        <w:pStyle w:val="5"/>
        <w:keepNext/>
        <w:keepLines w:val="0"/>
        <w:spacing w:before="240" w:after="120" w:line="240" w:lineRule="auto"/>
        <w:jc w:val="left"/>
      </w:pPr>
      <w:bookmarkStart w:id="24" w:name="_Toc239316434"/>
      <w:r>
        <w:rPr>
          <w:rFonts w:ascii="Times New Roman" w:hAnsi="Times New Roman" w:eastAsia="黑体"/>
          <w:b/>
          <w:i w:val="0"/>
          <w:color w:val="000000"/>
          <w:sz w:val="28"/>
        </w:rPr>
        <w:t>3.2.1  自变量：AI素养</w:t>
      </w:r>
      <w:bookmarkEnd w:id="24"/>
    </w:p>
    <w:p w14:paraId="4FD12EDD">
      <w:pPr>
        <w:keepNext w:val="0"/>
        <w:keepLines w:val="0"/>
        <w:spacing w:before="120" w:after="120" w:line="240" w:lineRule="auto"/>
        <w:ind w:firstLine="420"/>
        <w:jc w:val="both"/>
      </w:pPr>
      <w:r>
        <w:rPr>
          <w:rFonts w:ascii="Times New Roman" w:hAnsi="Times New Roman" w:eastAsia="宋体"/>
          <w:b w:val="0"/>
          <w:i w:val="0"/>
          <w:sz w:val="21"/>
        </w:rPr>
        <w:t>AI素养采用Long与Magerko（2020）开发的AI素养量表，共包含12个题项，考察受访者对AI技术的理解、识别与应用能力。题项采用李克特5点量表（1=完全不同意，5=完全同意）。其中“学习使用新的AI应用或产品对我来说通常很难”和“我不知道AI技术如何帮助我”为反向计分题项，在计算量表均值前已完成反向编码处理（反向分=6-原始分）。量表内部一致性系数Cronbach's α=0.87，信度良好。最终以12个题项的均值作为AI素养的操作化指标（M=3.69，SD=0.44）。</w:t>
      </w:r>
    </w:p>
    <w:p w14:paraId="6F6F2DE8">
      <w:pPr>
        <w:pStyle w:val="5"/>
        <w:keepNext/>
        <w:keepLines w:val="0"/>
        <w:spacing w:before="240" w:after="120" w:line="240" w:lineRule="auto"/>
        <w:jc w:val="left"/>
      </w:pPr>
      <w:bookmarkStart w:id="53" w:name="_GoBack"/>
      <w:bookmarkEnd w:id="53"/>
      <w:bookmarkStart w:id="25" w:name="_Toc2101919054"/>
      <w:r>
        <w:rPr>
          <w:rFonts w:ascii="Times New Roman" w:hAnsi="Times New Roman" w:eastAsia="黑体"/>
          <w:b/>
          <w:i w:val="0"/>
          <w:color w:val="000000"/>
          <w:sz w:val="28"/>
        </w:rPr>
        <w:t>3.2.2  自变量：AI新闻接触频率</w:t>
      </w:r>
      <w:bookmarkEnd w:id="25"/>
    </w:p>
    <w:p w14:paraId="5472C2B3">
      <w:pPr>
        <w:keepNext w:val="0"/>
        <w:keepLines w:val="0"/>
        <w:spacing w:before="120" w:after="120" w:line="240" w:lineRule="auto"/>
        <w:ind w:firstLine="420"/>
        <w:jc w:val="both"/>
      </w:pPr>
      <w:r>
        <w:rPr>
          <w:rFonts w:ascii="Times New Roman" w:hAnsi="Times New Roman" w:eastAsia="宋体"/>
          <w:b w:val="0"/>
          <w:i w:val="0"/>
          <w:sz w:val="21"/>
        </w:rPr>
        <w:t>AI新闻接触频率采用单题测量，题目为“您多久会阅读或浏览一次您明确知道是由人工智能创作或辅助生成的新闻内容？”（包括完全由AI撰写的新闻、由AI摘要的报道，或记者使用AI工具辅助写作的文章）。答项采用5点频率量表（1=几乎不/从不，2=偶尔/每月几次，3=经常/每周数次，4=每天一次，5=每天多次），排除“我不知道我读的新闻是否由AI创作或辅助生成”的96名受访者后，该变量的有效样本量为904（M=3.01，SD=1.08）。</w:t>
      </w:r>
    </w:p>
    <w:p w14:paraId="46965033">
      <w:pPr>
        <w:pStyle w:val="5"/>
        <w:keepNext/>
        <w:keepLines w:val="0"/>
        <w:spacing w:before="240" w:after="120" w:line="240" w:lineRule="auto"/>
        <w:jc w:val="left"/>
      </w:pPr>
      <w:bookmarkStart w:id="26" w:name="_Toc847547428"/>
      <w:r>
        <w:rPr>
          <w:rFonts w:ascii="Times New Roman" w:hAnsi="Times New Roman" w:eastAsia="黑体"/>
          <w:b/>
          <w:i w:val="0"/>
          <w:color w:val="000000"/>
          <w:sz w:val="28"/>
        </w:rPr>
        <w:t>3.2.3  中介变量：AI技术信任</w:t>
      </w:r>
      <w:bookmarkEnd w:id="26"/>
    </w:p>
    <w:p w14:paraId="79AE2D53">
      <w:pPr>
        <w:keepNext w:val="0"/>
        <w:keepLines w:val="0"/>
        <w:spacing w:before="120" w:after="120" w:line="240" w:lineRule="auto"/>
        <w:ind w:firstLine="420"/>
        <w:jc w:val="both"/>
      </w:pPr>
      <w:r>
        <w:rPr>
          <w:rFonts w:ascii="Times New Roman" w:hAnsi="Times New Roman" w:eastAsia="宋体"/>
          <w:b w:val="0"/>
          <w:i w:val="0"/>
          <w:sz w:val="21"/>
        </w:rPr>
        <w:t>AI技术信任采用22个题项进行测量，考察受访者对人工智能技术整体可靠性、安全性、公平性及社会影响的信任程度。题项同样采用5点李克特量表。该量表的Cronbach's α=0.95，内部一致性极高。以22个题项的均值作为AI技术信任的操作化指标（M=3.75，SD=0.49）。需要指出的是，AI技术信任（对AI技术系统整体的评价）与AI新闻信任（对AI生成新闻内容的评价）在概念上属于不同层次的信任客体，本研究对两者加以明确区分。</w:t>
      </w:r>
    </w:p>
    <w:p w14:paraId="5B0E133C">
      <w:pPr>
        <w:pStyle w:val="5"/>
        <w:keepNext/>
        <w:keepLines w:val="0"/>
        <w:spacing w:before="240" w:after="120" w:line="240" w:lineRule="auto"/>
        <w:jc w:val="left"/>
      </w:pPr>
      <w:bookmarkStart w:id="27" w:name="_Toc470591845"/>
      <w:r>
        <w:rPr>
          <w:rFonts w:ascii="Times New Roman" w:hAnsi="Times New Roman" w:eastAsia="黑体"/>
          <w:b/>
          <w:i w:val="0"/>
          <w:color w:val="000000"/>
          <w:sz w:val="28"/>
        </w:rPr>
        <w:t>3.2.4  调节变量：媒体信任</w:t>
      </w:r>
      <w:bookmarkEnd w:id="27"/>
    </w:p>
    <w:p w14:paraId="720EF785">
      <w:pPr>
        <w:keepNext w:val="0"/>
        <w:keepLines w:val="0"/>
        <w:spacing w:before="120" w:after="120" w:line="240" w:lineRule="auto"/>
        <w:ind w:firstLine="420"/>
        <w:jc w:val="both"/>
      </w:pPr>
      <w:r>
        <w:rPr>
          <w:rFonts w:ascii="Times New Roman" w:hAnsi="Times New Roman" w:eastAsia="宋体"/>
          <w:b w:val="0"/>
          <w:i w:val="0"/>
          <w:sz w:val="21"/>
        </w:rPr>
        <w:t>媒体信任采用11个题项进行测量，考察受访者对新闻媒体报道公正性、准确性和独立性的整体信任水平。量表的Cronbach's α=0.90，信度优良。以11个题项的均值作为媒体信任的操作化指标（M=3.82，SD=0.52）。</w:t>
      </w:r>
    </w:p>
    <w:p w14:paraId="34B0DE08">
      <w:pPr>
        <w:pStyle w:val="5"/>
        <w:keepNext/>
        <w:keepLines w:val="0"/>
        <w:spacing w:before="240" w:after="120" w:line="240" w:lineRule="auto"/>
        <w:jc w:val="left"/>
      </w:pPr>
      <w:bookmarkStart w:id="28" w:name="_Toc54867014"/>
      <w:r>
        <w:rPr>
          <w:rFonts w:ascii="Times New Roman" w:hAnsi="Times New Roman" w:eastAsia="黑体"/>
          <w:b/>
          <w:i w:val="0"/>
          <w:color w:val="000000"/>
          <w:sz w:val="28"/>
        </w:rPr>
        <w:t>3.2.5  因变量：AI新闻信任</w:t>
      </w:r>
      <w:bookmarkEnd w:id="28"/>
    </w:p>
    <w:p w14:paraId="3B6CF82E">
      <w:pPr>
        <w:keepNext w:val="0"/>
        <w:keepLines w:val="0"/>
        <w:spacing w:before="120" w:after="120" w:line="240" w:lineRule="auto"/>
        <w:ind w:firstLine="420"/>
        <w:jc w:val="both"/>
      </w:pPr>
      <w:r>
        <w:rPr>
          <w:rFonts w:ascii="Times New Roman" w:hAnsi="Times New Roman" w:eastAsia="宋体"/>
          <w:b w:val="0"/>
          <w:i w:val="0"/>
          <w:sz w:val="21"/>
        </w:rPr>
        <w:t>AI新闻信任采用8个题项进行测量，考察受访者对AI生成新闻内容在可信度、可靠性、客观性、专业性等维度上的整体评价。量表的Cronbach's α=0.88，信度良好。以8个题项的均值作为AI新闻信任的操作化指标（M=3.46，SD=0.72）。</w:t>
      </w:r>
    </w:p>
    <w:p w14:paraId="2E052332">
      <w:pPr>
        <w:pStyle w:val="5"/>
        <w:keepNext/>
        <w:keepLines w:val="0"/>
        <w:spacing w:before="240" w:after="120" w:line="240" w:lineRule="auto"/>
        <w:jc w:val="left"/>
      </w:pPr>
      <w:bookmarkStart w:id="29" w:name="_Toc879419735"/>
      <w:r>
        <w:rPr>
          <w:rFonts w:ascii="Times New Roman" w:hAnsi="Times New Roman" w:eastAsia="黑体"/>
          <w:b/>
          <w:i w:val="0"/>
          <w:color w:val="000000"/>
          <w:sz w:val="28"/>
        </w:rPr>
        <w:t>3.2.6  控制变量</w:t>
      </w:r>
      <w:bookmarkEnd w:id="29"/>
    </w:p>
    <w:p w14:paraId="76AEFA9A">
      <w:pPr>
        <w:keepNext w:val="0"/>
        <w:keepLines w:val="0"/>
        <w:spacing w:before="120" w:after="120" w:line="240" w:lineRule="auto"/>
        <w:ind w:firstLine="420"/>
        <w:jc w:val="both"/>
      </w:pPr>
      <w:r>
        <w:rPr>
          <w:rFonts w:ascii="Times New Roman" w:hAnsi="Times New Roman" w:eastAsia="宋体"/>
          <w:b w:val="0"/>
          <w:i w:val="0"/>
          <w:sz w:val="21"/>
        </w:rPr>
        <w:t>参考相关研究的惯常做法，本研究将以下人口统计变量作为控制变量纳入所有回归方程：年龄（连续变量）、性别（0=男，1=女）、教育程度（连续变量）、政治兴趣（5点量表）。</w:t>
      </w:r>
    </w:p>
    <w:p w14:paraId="36DBCC57">
      <w:pPr>
        <w:keepNext w:val="0"/>
        <w:keepLines w:val="0"/>
        <w:spacing w:before="120" w:after="12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各核心变量的描述统计与相关系数矩阵见表1。</w:t>
      </w:r>
    </w:p>
    <w:p w14:paraId="0DAB6C19">
      <w:pPr>
        <w:keepNext w:val="0"/>
        <w:keepLines w:val="0"/>
        <w:spacing w:before="120" w:after="120" w:line="240" w:lineRule="auto"/>
        <w:ind w:firstLine="420"/>
        <w:jc w:val="both"/>
        <w:rPr>
          <w:rFonts w:ascii="Times New Roman" w:hAnsi="Times New Roman" w:eastAsia="宋体"/>
          <w:b w:val="0"/>
          <w:i w:val="0"/>
          <w:sz w:val="21"/>
        </w:rPr>
      </w:pPr>
    </w:p>
    <w:p w14:paraId="5957617F">
      <w:pPr>
        <w:spacing w:before="120" w:after="60"/>
        <w:jc w:val="center"/>
        <w:rPr>
          <w:b w:val="0"/>
          <w:bCs w:val="0"/>
          <w:sz w:val="18"/>
          <w:szCs w:val="18"/>
        </w:rPr>
      </w:pPr>
      <w:r>
        <w:rPr>
          <w:rFonts w:ascii="Times New Roman" w:eastAsia="宋体"/>
          <w:b w:val="0"/>
          <w:bCs w:val="0"/>
          <w:sz w:val="18"/>
          <w:szCs w:val="18"/>
        </w:rPr>
        <w:t>表1  各核心变量描述统计与Pearson相关系数矩阵（n=904）</w:t>
      </w:r>
    </w:p>
    <w:tbl>
      <w:tblPr>
        <w:tblStyle w:val="3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00"/>
        <w:gridCol w:w="700"/>
        <w:gridCol w:w="1000"/>
        <w:gridCol w:w="1000"/>
        <w:gridCol w:w="1000"/>
        <w:gridCol w:w="1000"/>
        <w:gridCol w:w="1400"/>
      </w:tblGrid>
      <w:tr w14:paraId="5C33FEB7">
        <w:tc>
          <w:tcPr>
            <w:tcW w:w="16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7D9C315D">
            <w:pPr>
              <w:jc w:val="center"/>
            </w:pPr>
            <w:r>
              <w:rPr>
                <w:rFonts w:ascii="Times New Roman" w:eastAsia="宋体"/>
                <w:b/>
                <w:bCs/>
                <w:color w:val="000000"/>
                <w:sz w:val="18"/>
                <w:szCs w:val="18"/>
              </w:rPr>
              <w:t>变量</w:t>
            </w:r>
          </w:p>
        </w:tc>
        <w:tc>
          <w:tcPr>
            <w:tcW w:w="7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7AA1256F">
            <w:pPr>
              <w:jc w:val="center"/>
            </w:pPr>
            <w:r>
              <w:rPr>
                <w:rFonts w:ascii="Times New Roman" w:eastAsia="宋体"/>
                <w:b/>
                <w:bCs/>
                <w:color w:val="000000"/>
                <w:sz w:val="18"/>
                <w:szCs w:val="18"/>
              </w:rPr>
              <w:t>M</w:t>
            </w:r>
          </w:p>
        </w:tc>
        <w:tc>
          <w:tcPr>
            <w:tcW w:w="7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0CAECA05">
            <w:pPr>
              <w:jc w:val="center"/>
            </w:pPr>
            <w:r>
              <w:rPr>
                <w:rFonts w:ascii="Times New Roman" w:eastAsia="宋体"/>
                <w:b/>
                <w:bCs/>
                <w:color w:val="000000"/>
                <w:sz w:val="18"/>
                <w:szCs w:val="18"/>
              </w:rPr>
              <w:t>SD</w:t>
            </w:r>
          </w:p>
        </w:tc>
        <w:tc>
          <w:tcPr>
            <w:tcW w:w="10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719DBB67">
            <w:pPr>
              <w:jc w:val="center"/>
            </w:pPr>
            <w:r>
              <w:rPr>
                <w:rFonts w:ascii="Times New Roman" w:eastAsia="宋体"/>
                <w:b/>
                <w:bCs/>
                <w:color w:val="000000"/>
                <w:sz w:val="18"/>
                <w:szCs w:val="18"/>
              </w:rPr>
              <w:t>1. AI新闻信任</w:t>
            </w:r>
          </w:p>
        </w:tc>
        <w:tc>
          <w:tcPr>
            <w:tcW w:w="10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7C708667">
            <w:pPr>
              <w:jc w:val="center"/>
            </w:pPr>
            <w:r>
              <w:rPr>
                <w:rFonts w:ascii="Times New Roman" w:eastAsia="宋体"/>
                <w:b/>
                <w:bCs/>
                <w:color w:val="000000"/>
                <w:sz w:val="18"/>
                <w:szCs w:val="18"/>
              </w:rPr>
              <w:t>2. AI素养</w:t>
            </w:r>
          </w:p>
        </w:tc>
        <w:tc>
          <w:tcPr>
            <w:tcW w:w="10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48F7BE67">
            <w:pPr>
              <w:jc w:val="center"/>
            </w:pPr>
            <w:r>
              <w:rPr>
                <w:rFonts w:ascii="Times New Roman" w:eastAsia="宋体"/>
                <w:b/>
                <w:bCs/>
                <w:color w:val="000000"/>
                <w:sz w:val="18"/>
                <w:szCs w:val="18"/>
              </w:rPr>
              <w:t>3. AI新闻接触</w:t>
            </w:r>
          </w:p>
        </w:tc>
        <w:tc>
          <w:tcPr>
            <w:tcW w:w="10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5F3A9DAB">
            <w:pPr>
              <w:jc w:val="center"/>
            </w:pPr>
            <w:r>
              <w:rPr>
                <w:rFonts w:ascii="Times New Roman" w:eastAsia="宋体"/>
                <w:b/>
                <w:bCs/>
                <w:color w:val="000000"/>
                <w:sz w:val="18"/>
                <w:szCs w:val="18"/>
              </w:rPr>
              <w:t>4. AI技术信任</w:t>
            </w:r>
          </w:p>
        </w:tc>
        <w:tc>
          <w:tcPr>
            <w:tcW w:w="14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626755C1">
            <w:pPr>
              <w:jc w:val="center"/>
            </w:pPr>
            <w:r>
              <w:rPr>
                <w:rFonts w:ascii="Times New Roman" w:eastAsia="宋体"/>
                <w:b/>
                <w:bCs/>
                <w:color w:val="000000"/>
                <w:sz w:val="18"/>
                <w:szCs w:val="18"/>
              </w:rPr>
              <w:t>5. 媒体信任</w:t>
            </w:r>
          </w:p>
        </w:tc>
      </w:tr>
      <w:tr w14:paraId="1146DBC0">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6905B7">
            <w:pPr>
              <w:jc w:val="left"/>
            </w:pPr>
            <w:r>
              <w:rPr>
                <w:rFonts w:ascii="Times New Roman" w:eastAsia="宋体"/>
                <w:b w:val="0"/>
                <w:bCs w:val="0"/>
                <w:color w:val="000000"/>
                <w:sz w:val="18"/>
                <w:szCs w:val="18"/>
              </w:rPr>
              <w:t>1. AI新闻信任</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17E5A5">
            <w:pPr>
              <w:jc w:val="center"/>
            </w:pPr>
            <w:r>
              <w:rPr>
                <w:rFonts w:ascii="Times New Roman" w:eastAsia="宋体"/>
                <w:b w:val="0"/>
                <w:bCs w:val="0"/>
                <w:color w:val="000000"/>
                <w:sz w:val="18"/>
                <w:szCs w:val="18"/>
              </w:rPr>
              <w:t>3.46</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6C2716">
            <w:pPr>
              <w:jc w:val="center"/>
            </w:pPr>
            <w:r>
              <w:rPr>
                <w:rFonts w:ascii="Times New Roman" w:eastAsia="宋体"/>
                <w:b w:val="0"/>
                <w:bCs w:val="0"/>
                <w:color w:val="000000"/>
                <w:sz w:val="18"/>
                <w:szCs w:val="18"/>
              </w:rPr>
              <w:t>0.72</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5F0AAA">
            <w:pPr>
              <w:jc w:val="center"/>
            </w:pPr>
            <w:r>
              <w:rPr>
                <w:rFonts w:ascii="Times New Roman" w:eastAsia="宋体"/>
                <w:b w:val="0"/>
                <w:bCs w:val="0"/>
                <w:color w:val="000000"/>
                <w:sz w:val="18"/>
                <w:szCs w:val="18"/>
              </w:rPr>
              <w:t>—</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AE5F25">
            <w:pPr>
              <w:jc w:val="center"/>
            </w:pP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F98AD1">
            <w:pPr>
              <w:jc w:val="center"/>
            </w:pP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FAEFD5">
            <w:pPr>
              <w:jc w:val="center"/>
            </w:pP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81957E">
            <w:pPr>
              <w:jc w:val="center"/>
            </w:pPr>
          </w:p>
        </w:tc>
      </w:tr>
      <w:tr w14:paraId="2DEC6B13">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662170">
            <w:pPr>
              <w:jc w:val="left"/>
            </w:pPr>
            <w:r>
              <w:rPr>
                <w:rFonts w:ascii="Times New Roman" w:eastAsia="宋体"/>
                <w:b w:val="0"/>
                <w:bCs w:val="0"/>
                <w:color w:val="000000"/>
                <w:sz w:val="18"/>
                <w:szCs w:val="18"/>
              </w:rPr>
              <w:t>2. AI素养</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AD11C9">
            <w:pPr>
              <w:jc w:val="center"/>
            </w:pPr>
            <w:r>
              <w:rPr>
                <w:rFonts w:ascii="Times New Roman" w:eastAsia="宋体"/>
                <w:b w:val="0"/>
                <w:bCs w:val="0"/>
                <w:color w:val="000000"/>
                <w:sz w:val="18"/>
                <w:szCs w:val="18"/>
              </w:rPr>
              <w:t>3.69</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2235EC">
            <w:pPr>
              <w:jc w:val="center"/>
            </w:pPr>
            <w:r>
              <w:rPr>
                <w:rFonts w:ascii="Times New Roman" w:eastAsia="宋体"/>
                <w:b w:val="0"/>
                <w:bCs w:val="0"/>
                <w:color w:val="000000"/>
                <w:sz w:val="18"/>
                <w:szCs w:val="18"/>
              </w:rPr>
              <w:t>0.44</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2A7C35">
            <w:pPr>
              <w:jc w:val="center"/>
            </w:pPr>
            <w:r>
              <w:rPr>
                <w:rFonts w:ascii="Times New Roman" w:eastAsia="宋体"/>
                <w:b w:val="0"/>
                <w:bCs w:val="0"/>
                <w:color w:val="000000"/>
                <w:sz w:val="18"/>
                <w:szCs w:val="18"/>
              </w:rPr>
              <w:t>0.23***</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644FB1">
            <w:pPr>
              <w:jc w:val="center"/>
            </w:pPr>
            <w:r>
              <w:rPr>
                <w:rFonts w:ascii="Times New Roman" w:eastAsia="宋体"/>
                <w:b w:val="0"/>
                <w:bCs w:val="0"/>
                <w:color w:val="000000"/>
                <w:sz w:val="18"/>
                <w:szCs w:val="18"/>
              </w:rPr>
              <w:t>—</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B9575E">
            <w:pPr>
              <w:jc w:val="center"/>
            </w:pP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C33A4E">
            <w:pPr>
              <w:jc w:val="center"/>
            </w:pP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399E60">
            <w:pPr>
              <w:jc w:val="center"/>
            </w:pPr>
          </w:p>
        </w:tc>
      </w:tr>
      <w:tr w14:paraId="621916CF">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1BE4BD">
            <w:pPr>
              <w:jc w:val="left"/>
            </w:pPr>
            <w:r>
              <w:rPr>
                <w:rFonts w:ascii="Times New Roman" w:eastAsia="宋体"/>
                <w:b w:val="0"/>
                <w:bCs w:val="0"/>
                <w:color w:val="000000"/>
                <w:sz w:val="18"/>
                <w:szCs w:val="18"/>
              </w:rPr>
              <w:t>3. AI新闻接触</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9295DA">
            <w:pPr>
              <w:jc w:val="center"/>
            </w:pPr>
            <w:r>
              <w:rPr>
                <w:rFonts w:ascii="Times New Roman" w:eastAsia="宋体"/>
                <w:b w:val="0"/>
                <w:bCs w:val="0"/>
                <w:color w:val="000000"/>
                <w:sz w:val="18"/>
                <w:szCs w:val="18"/>
              </w:rPr>
              <w:t>3.01</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EB4F2E">
            <w:pPr>
              <w:jc w:val="center"/>
            </w:pPr>
            <w:r>
              <w:rPr>
                <w:rFonts w:ascii="Times New Roman" w:eastAsia="宋体"/>
                <w:b w:val="0"/>
                <w:bCs w:val="0"/>
                <w:color w:val="000000"/>
                <w:sz w:val="18"/>
                <w:szCs w:val="18"/>
              </w:rPr>
              <w:t>1.08</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6B651C">
            <w:pPr>
              <w:jc w:val="center"/>
            </w:pPr>
            <w:r>
              <w:rPr>
                <w:rFonts w:ascii="Times New Roman" w:eastAsia="宋体"/>
                <w:b w:val="0"/>
                <w:bCs w:val="0"/>
                <w:color w:val="000000"/>
                <w:sz w:val="18"/>
                <w:szCs w:val="18"/>
              </w:rPr>
              <w:t>-0.22***</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AEB3E4">
            <w:pPr>
              <w:jc w:val="center"/>
            </w:pPr>
            <w:r>
              <w:rPr>
                <w:rFonts w:ascii="Times New Roman" w:eastAsia="宋体"/>
                <w:b w:val="0"/>
                <w:bCs w:val="0"/>
                <w:color w:val="000000"/>
                <w:sz w:val="18"/>
                <w:szCs w:val="18"/>
              </w:rPr>
              <w:t>-0.11**</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B177C6">
            <w:pPr>
              <w:jc w:val="center"/>
            </w:pPr>
            <w:r>
              <w:rPr>
                <w:rFonts w:ascii="Times New Roman" w:eastAsia="宋体"/>
                <w:b w:val="0"/>
                <w:bCs w:val="0"/>
                <w:color w:val="000000"/>
                <w:sz w:val="18"/>
                <w:szCs w:val="18"/>
              </w:rPr>
              <w:t>—</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F1E4BC">
            <w:pPr>
              <w:jc w:val="center"/>
            </w:pP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5ECDB5">
            <w:pPr>
              <w:jc w:val="center"/>
            </w:pPr>
          </w:p>
        </w:tc>
      </w:tr>
      <w:tr w14:paraId="411F88C4">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D61971">
            <w:pPr>
              <w:jc w:val="left"/>
            </w:pPr>
            <w:r>
              <w:rPr>
                <w:rFonts w:ascii="Times New Roman" w:eastAsia="宋体"/>
                <w:b w:val="0"/>
                <w:bCs w:val="0"/>
                <w:color w:val="000000"/>
                <w:sz w:val="18"/>
                <w:szCs w:val="18"/>
              </w:rPr>
              <w:t>4. AI技术信任</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92611B">
            <w:pPr>
              <w:jc w:val="center"/>
            </w:pPr>
            <w:r>
              <w:rPr>
                <w:rFonts w:ascii="Times New Roman" w:eastAsia="宋体"/>
                <w:b w:val="0"/>
                <w:bCs w:val="0"/>
                <w:color w:val="000000"/>
                <w:sz w:val="18"/>
                <w:szCs w:val="18"/>
              </w:rPr>
              <w:t>3.75</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2B2EF2">
            <w:pPr>
              <w:jc w:val="center"/>
            </w:pPr>
            <w:r>
              <w:rPr>
                <w:rFonts w:ascii="Times New Roman" w:eastAsia="宋体"/>
                <w:b w:val="0"/>
                <w:bCs w:val="0"/>
                <w:color w:val="000000"/>
                <w:sz w:val="18"/>
                <w:szCs w:val="18"/>
              </w:rPr>
              <w:t>0.49</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D8DF7D">
            <w:pPr>
              <w:jc w:val="center"/>
            </w:pPr>
            <w:r>
              <w:rPr>
                <w:rFonts w:ascii="Times New Roman" w:eastAsia="宋体"/>
                <w:b w:val="0"/>
                <w:bCs w:val="0"/>
                <w:color w:val="000000"/>
                <w:sz w:val="18"/>
                <w:szCs w:val="18"/>
              </w:rPr>
              <w:t>0.61***</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34094A">
            <w:pPr>
              <w:jc w:val="center"/>
            </w:pPr>
            <w:r>
              <w:rPr>
                <w:rFonts w:ascii="Times New Roman" w:eastAsia="宋体"/>
                <w:b w:val="0"/>
                <w:bCs w:val="0"/>
                <w:color w:val="000000"/>
                <w:sz w:val="18"/>
                <w:szCs w:val="18"/>
              </w:rPr>
              <w:t>0.54***</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5AD074">
            <w:pPr>
              <w:jc w:val="center"/>
            </w:pPr>
            <w:r>
              <w:rPr>
                <w:rFonts w:ascii="Times New Roman" w:eastAsia="宋体"/>
                <w:b w:val="0"/>
                <w:bCs w:val="0"/>
                <w:color w:val="000000"/>
                <w:sz w:val="18"/>
                <w:szCs w:val="18"/>
              </w:rPr>
              <w:t>-0.20***</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AFFBB3">
            <w:pPr>
              <w:jc w:val="center"/>
            </w:pPr>
            <w:r>
              <w:rPr>
                <w:rFonts w:ascii="Times New Roman" w:eastAsia="宋体"/>
                <w:b w:val="0"/>
                <w:bCs w:val="0"/>
                <w:color w:val="000000"/>
                <w:sz w:val="18"/>
                <w:szCs w:val="18"/>
              </w:rPr>
              <w: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F9FABD">
            <w:pPr>
              <w:jc w:val="center"/>
            </w:pPr>
          </w:p>
        </w:tc>
      </w:tr>
      <w:tr w14:paraId="13B5CA65">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0D6881">
            <w:pPr>
              <w:jc w:val="left"/>
            </w:pPr>
            <w:r>
              <w:rPr>
                <w:rFonts w:ascii="Times New Roman" w:eastAsia="宋体"/>
                <w:b w:val="0"/>
                <w:bCs w:val="0"/>
                <w:color w:val="000000"/>
                <w:sz w:val="18"/>
                <w:szCs w:val="18"/>
              </w:rPr>
              <w:t>5. 媒体信任</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7CC553">
            <w:pPr>
              <w:jc w:val="center"/>
            </w:pPr>
            <w:r>
              <w:rPr>
                <w:rFonts w:ascii="Times New Roman" w:eastAsia="宋体"/>
                <w:b w:val="0"/>
                <w:bCs w:val="0"/>
                <w:color w:val="000000"/>
                <w:sz w:val="18"/>
                <w:szCs w:val="18"/>
              </w:rPr>
              <w:t>3.82</w:t>
            </w:r>
          </w:p>
        </w:tc>
        <w:tc>
          <w:tcPr>
            <w:tcW w:w="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9474F9">
            <w:pPr>
              <w:jc w:val="center"/>
            </w:pPr>
            <w:r>
              <w:rPr>
                <w:rFonts w:ascii="Times New Roman" w:eastAsia="宋体"/>
                <w:b w:val="0"/>
                <w:bCs w:val="0"/>
                <w:color w:val="000000"/>
                <w:sz w:val="18"/>
                <w:szCs w:val="18"/>
              </w:rPr>
              <w:t>0.52</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32AAEF">
            <w:pPr>
              <w:jc w:val="center"/>
            </w:pPr>
            <w:r>
              <w:rPr>
                <w:rFonts w:ascii="Times New Roman" w:eastAsia="宋体"/>
                <w:b w:val="0"/>
                <w:bCs w:val="0"/>
                <w:color w:val="000000"/>
                <w:sz w:val="18"/>
                <w:szCs w:val="18"/>
              </w:rPr>
              <w:t>0.50***</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56FD46">
            <w:pPr>
              <w:jc w:val="center"/>
            </w:pPr>
            <w:r>
              <w:rPr>
                <w:rFonts w:ascii="Times New Roman" w:eastAsia="宋体"/>
                <w:b w:val="0"/>
                <w:bCs w:val="0"/>
                <w:color w:val="000000"/>
                <w:sz w:val="18"/>
                <w:szCs w:val="18"/>
              </w:rPr>
              <w:t>0.33***</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4CCDC4">
            <w:pPr>
              <w:jc w:val="center"/>
            </w:pPr>
            <w:r>
              <w:rPr>
                <w:rFonts w:ascii="Times New Roman" w:eastAsia="宋体"/>
                <w:b w:val="0"/>
                <w:bCs w:val="0"/>
                <w:color w:val="000000"/>
                <w:sz w:val="18"/>
                <w:szCs w:val="18"/>
              </w:rPr>
              <w:t>-0.13***</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A9339E">
            <w:pPr>
              <w:jc w:val="center"/>
            </w:pPr>
            <w:r>
              <w:rPr>
                <w:rFonts w:ascii="Times New Roman" w:eastAsia="宋体"/>
                <w:b w:val="0"/>
                <w:bCs w:val="0"/>
                <w:color w:val="000000"/>
                <w:sz w:val="18"/>
                <w:szCs w:val="18"/>
              </w:rPr>
              <w:t>0.62***</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86A2CB">
            <w:pPr>
              <w:jc w:val="center"/>
            </w:pPr>
            <w:r>
              <w:rPr>
                <w:rFonts w:ascii="Times New Roman" w:eastAsia="宋体"/>
                <w:b w:val="0"/>
                <w:bCs w:val="0"/>
                <w:color w:val="000000"/>
                <w:sz w:val="18"/>
                <w:szCs w:val="18"/>
              </w:rPr>
              <w:t>—</w:t>
            </w:r>
          </w:p>
        </w:tc>
      </w:tr>
    </w:tbl>
    <w:p w14:paraId="121870FE">
      <w:pPr>
        <w:spacing w:before="60" w:after="120"/>
      </w:pPr>
      <w:r>
        <w:rPr>
          <w:rFonts w:ascii="Times New Roman" w:eastAsia="宋体"/>
          <w:i/>
          <w:iCs/>
          <w:color w:val="555555"/>
          <w:sz w:val="18"/>
          <w:szCs w:val="18"/>
        </w:rPr>
        <w:t>注：** p&lt;0.01，*** p&lt;0.001</w:t>
      </w:r>
    </w:p>
    <w:p w14:paraId="766596B0">
      <w:pPr>
        <w:pStyle w:val="4"/>
        <w:keepNext/>
        <w:keepLines w:val="0"/>
        <w:spacing w:before="240" w:after="120" w:line="240" w:lineRule="auto"/>
        <w:jc w:val="left"/>
      </w:pPr>
      <w:bookmarkStart w:id="30" w:name="_Toc1425027491"/>
      <w:r>
        <w:rPr>
          <w:rFonts w:ascii="Times New Roman" w:hAnsi="Times New Roman" w:eastAsia="黑体"/>
          <w:b/>
          <w:i w:val="0"/>
          <w:color w:val="000000"/>
          <w:sz w:val="30"/>
        </w:rPr>
        <w:t>3.3  分析策略</w:t>
      </w:r>
      <w:bookmarkEnd w:id="30"/>
    </w:p>
    <w:p w14:paraId="6D7FB7BA">
      <w:pPr>
        <w:pStyle w:val="5"/>
        <w:keepNext/>
        <w:keepLines w:val="0"/>
        <w:spacing w:before="240" w:after="120" w:line="240" w:lineRule="auto"/>
        <w:jc w:val="left"/>
      </w:pPr>
      <w:bookmarkStart w:id="31" w:name="_Toc1699409893"/>
      <w:r>
        <w:rPr>
          <w:rFonts w:ascii="Times New Roman" w:hAnsi="Times New Roman" w:eastAsia="黑体"/>
          <w:b/>
          <w:i w:val="0"/>
          <w:color w:val="000000"/>
          <w:sz w:val="28"/>
        </w:rPr>
        <w:t>3.3.1  信度分析</w:t>
      </w:r>
      <w:bookmarkEnd w:id="31"/>
    </w:p>
    <w:p w14:paraId="3777D81D">
      <w:pPr>
        <w:keepNext w:val="0"/>
        <w:keepLines w:val="0"/>
        <w:spacing w:before="120" w:after="120" w:line="240" w:lineRule="auto"/>
        <w:ind w:firstLine="420"/>
        <w:jc w:val="both"/>
      </w:pPr>
      <w:r>
        <w:rPr>
          <w:rFonts w:ascii="Times New Roman" w:hAnsi="Times New Roman" w:eastAsia="宋体"/>
          <w:b w:val="0"/>
          <w:i w:val="0"/>
          <w:sz w:val="21"/>
        </w:rPr>
        <w:t>在正式分析前，对所有多题项量表进行内部一致性检验，以Cronbach's α系数评估各量表的信度水平。通常认为α≥0.70为可接受信度，α≥0.80为良好信度，α≥0.90为优秀信度。</w:t>
      </w:r>
    </w:p>
    <w:p w14:paraId="0F944F7B">
      <w:pPr>
        <w:pStyle w:val="5"/>
        <w:keepNext/>
        <w:keepLines w:val="0"/>
        <w:spacing w:before="240" w:after="120" w:line="240" w:lineRule="auto"/>
        <w:jc w:val="left"/>
      </w:pPr>
      <w:bookmarkStart w:id="32" w:name="_Toc449566551"/>
      <w:r>
        <w:rPr>
          <w:rFonts w:ascii="Times New Roman" w:hAnsi="Times New Roman" w:eastAsia="黑体"/>
          <w:b/>
          <w:i w:val="0"/>
          <w:color w:val="000000"/>
          <w:sz w:val="28"/>
        </w:rPr>
        <w:t>3.3.2  描述统计与相关分析</w:t>
      </w:r>
      <w:bookmarkEnd w:id="32"/>
    </w:p>
    <w:p w14:paraId="46422585">
      <w:pPr>
        <w:keepNext w:val="0"/>
        <w:keepLines w:val="0"/>
        <w:spacing w:before="120" w:after="120" w:line="240" w:lineRule="auto"/>
        <w:ind w:firstLine="420"/>
        <w:jc w:val="both"/>
      </w:pPr>
      <w:r>
        <w:rPr>
          <w:rFonts w:ascii="Times New Roman" w:hAnsi="Times New Roman" w:eastAsia="宋体"/>
          <w:b w:val="0"/>
          <w:i w:val="0"/>
          <w:sz w:val="21"/>
        </w:rPr>
        <w:t>对各核心变量进行描述统计，报告均值（M）与标准差（SD）。采用Pearson相关分析检验各变量间的双变量相关关系，并以此判断自变量与因变量之间是否存在足以支撑后续回归分析的基础关联。</w:t>
      </w:r>
    </w:p>
    <w:p w14:paraId="2C615AE7">
      <w:pPr>
        <w:pStyle w:val="5"/>
        <w:keepNext/>
        <w:keepLines w:val="0"/>
        <w:spacing w:before="240" w:after="120" w:line="240" w:lineRule="auto"/>
        <w:jc w:val="left"/>
      </w:pPr>
      <w:bookmarkStart w:id="33" w:name="_Toc1017552511"/>
      <w:r>
        <w:rPr>
          <w:rFonts w:ascii="Times New Roman" w:hAnsi="Times New Roman" w:eastAsia="黑体"/>
          <w:b/>
          <w:i w:val="0"/>
          <w:color w:val="000000"/>
          <w:sz w:val="28"/>
        </w:rPr>
        <w:t>3.3.3  中介效应检验</w:t>
      </w:r>
      <w:bookmarkEnd w:id="33"/>
    </w:p>
    <w:p w14:paraId="35EE8A4A">
      <w:pPr>
        <w:keepNext w:val="0"/>
        <w:keepLines w:val="0"/>
        <w:spacing w:before="120" w:after="120" w:line="240" w:lineRule="auto"/>
        <w:ind w:firstLine="420"/>
        <w:jc w:val="both"/>
      </w:pPr>
      <w:r>
        <w:rPr>
          <w:rFonts w:ascii="Times New Roman" w:hAnsi="Times New Roman" w:eastAsia="宋体"/>
          <w:b w:val="0"/>
          <w:i w:val="0"/>
          <w:sz w:val="21"/>
        </w:rPr>
        <w:t>本研究采用Hayes（2018）开发的PROCESS宏（Model 4）检验AI技术信任的中介作用。该方法基于OLS回归框架，采用Bootstrap重抽样法（抽样次数=5000次）构建95%置信区间，通过判断置信区间是否包含0来评估间接效应的显著性</w:t>
      </w:r>
      <w:r>
        <w:rPr>
          <w:rFonts w:ascii="Times New Roman" w:hAnsi="Times New Roman" w:eastAsia="宋体"/>
          <w:b w:val="0"/>
          <w:i w:val="0"/>
          <w:sz w:val="16"/>
          <w:vertAlign w:val="superscript"/>
        </w:rPr>
        <w:t>[15]</w:t>
      </w:r>
      <w:r>
        <w:rPr>
          <w:rFonts w:ascii="Times New Roman" w:hAnsi="Times New Roman" w:eastAsia="宋体"/>
          <w:b w:val="0"/>
          <w:i w:val="0"/>
          <w:sz w:val="21"/>
        </w:rPr>
        <w:t>。与传统的Baron-Kenny因果步骤法相比，Bootstrap方法在统计检验力和置信区间估计精度方面均具有明显优势。</w:t>
      </w:r>
    </w:p>
    <w:p w14:paraId="68E5B16A">
      <w:pPr>
        <w:keepNext w:val="0"/>
        <w:keepLines w:val="0"/>
        <w:spacing w:before="120" w:after="120" w:line="240" w:lineRule="auto"/>
        <w:ind w:firstLine="420"/>
        <w:jc w:val="both"/>
      </w:pPr>
      <w:r>
        <w:rPr>
          <w:rFonts w:ascii="Times New Roman" w:hAnsi="Times New Roman" w:eastAsia="宋体"/>
          <w:b w:val="0"/>
          <w:i w:val="0"/>
          <w:sz w:val="21"/>
        </w:rPr>
        <w:t>中介分析的具体步骤为：（1）检验AI素养/AI新闻接触频率对AI技术信任的效应（路径a）；（2）在控制自变量的条件下，检验AI技术信任对AI新闻信任的效应（路径b）；（3）采用Bootstrap方法检验间接效应（路径a×b）的显著性；（4）检验加入中介变量后自变量对因变量的直接效应（路径c'）。</w:t>
      </w:r>
    </w:p>
    <w:p w14:paraId="116CA5A6">
      <w:pPr>
        <w:pStyle w:val="5"/>
        <w:keepNext/>
        <w:keepLines w:val="0"/>
        <w:spacing w:before="240" w:after="120" w:line="240" w:lineRule="auto"/>
        <w:jc w:val="left"/>
      </w:pPr>
      <w:bookmarkStart w:id="34" w:name="_Toc1592771316"/>
      <w:r>
        <w:rPr>
          <w:rFonts w:ascii="Times New Roman" w:hAnsi="Times New Roman" w:eastAsia="黑体"/>
          <w:b/>
          <w:i w:val="0"/>
          <w:color w:val="000000"/>
          <w:sz w:val="28"/>
        </w:rPr>
        <w:t>3.3.4  有调节的中介效应检验</w:t>
      </w:r>
      <w:bookmarkEnd w:id="34"/>
    </w:p>
    <w:p w14:paraId="6AE7EB26">
      <w:pPr>
        <w:keepNext w:val="0"/>
        <w:keepLines w:val="0"/>
        <w:spacing w:before="120" w:after="120" w:line="240" w:lineRule="auto"/>
        <w:ind w:firstLine="420"/>
        <w:jc w:val="both"/>
      </w:pPr>
      <w:r>
        <w:rPr>
          <w:rFonts w:ascii="Times New Roman" w:hAnsi="Times New Roman" w:eastAsia="宋体"/>
          <w:b w:val="0"/>
          <w:i w:val="0"/>
          <w:sz w:val="21"/>
        </w:rPr>
        <w:t>在中介分析的基础上，进一步采用PROCESS宏（Model 7）检验媒体信任对AI新闻接触频率→AI技术信任路径的调节效应，构建有调节的中介模型。在纳入交互项之前，对所有连续型自变量和调节变量进行均值中心化处理，以降低多重共线性、便于交互效应的解释。</w:t>
      </w:r>
    </w:p>
    <w:p w14:paraId="1ED57F48">
      <w:pPr>
        <w:keepNext w:val="0"/>
        <w:keepLines w:val="0"/>
        <w:spacing w:before="120" w:after="120" w:line="240" w:lineRule="auto"/>
        <w:ind w:firstLine="420"/>
        <w:jc w:val="both"/>
      </w:pPr>
      <w:r>
        <w:rPr>
          <w:rFonts w:ascii="Times New Roman" w:hAnsi="Times New Roman" w:eastAsia="宋体"/>
          <w:b w:val="0"/>
          <w:i w:val="0"/>
          <w:sz w:val="21"/>
        </w:rPr>
        <w:t>调节效应的可视化采用简单斜率分析（simple slope analysis），分别计算在媒体信任高（均值+1个标准差）和低（均值-1个标准差）两种条件下，AI新闻接触频率对AI技术信任的简单斜率，并绘制交互效应图。</w:t>
      </w:r>
    </w:p>
    <w:p w14:paraId="1D16D23E">
      <w:pPr>
        <w:keepNext w:val="0"/>
        <w:keepLines w:val="0"/>
        <w:spacing w:before="120" w:after="120" w:line="240" w:lineRule="auto"/>
        <w:ind w:firstLine="420"/>
        <w:jc w:val="both"/>
      </w:pPr>
      <w:r>
        <w:rPr>
          <w:rFonts w:ascii="Times New Roman" w:hAnsi="Times New Roman" w:eastAsia="宋体"/>
          <w:b w:val="0"/>
          <w:i w:val="0"/>
          <w:sz w:val="21"/>
        </w:rPr>
        <w:t>上述所有分析均在SPSS 27.0及PROCESS 5.0插件中完成，控制变量（年龄、性别、教育程度、政治兴趣）纳入所有回归方程。</w:t>
      </w:r>
    </w:p>
    <w:p w14:paraId="32D66B60">
      <w:r>
        <w:br w:type="page"/>
      </w:r>
    </w:p>
    <w:p w14:paraId="29E2367E">
      <w:pPr>
        <w:pStyle w:val="3"/>
        <w:keepNext/>
        <w:keepLines w:val="0"/>
        <w:spacing w:before="360" w:after="240" w:line="240" w:lineRule="auto"/>
        <w:jc w:val="left"/>
      </w:pPr>
      <w:bookmarkStart w:id="35" w:name="_Toc1323848157"/>
      <w:r>
        <w:rPr>
          <w:rFonts w:ascii="Times New Roman" w:hAnsi="Times New Roman" w:eastAsia="黑体"/>
          <w:b/>
          <w:i w:val="0"/>
          <w:color w:val="000000"/>
          <w:sz w:val="32"/>
        </w:rPr>
        <w:t>4  研究结果</w:t>
      </w:r>
      <w:bookmarkEnd w:id="35"/>
    </w:p>
    <w:p w14:paraId="7F15B963">
      <w:pPr>
        <w:pStyle w:val="4"/>
        <w:keepNext/>
        <w:keepLines w:val="0"/>
        <w:spacing w:before="240" w:after="120" w:line="240" w:lineRule="auto"/>
        <w:jc w:val="left"/>
      </w:pPr>
      <w:bookmarkStart w:id="36" w:name="_Toc1985391779"/>
      <w:r>
        <w:rPr>
          <w:rFonts w:ascii="Times New Roman" w:hAnsi="Times New Roman" w:eastAsia="黑体"/>
          <w:b/>
          <w:i w:val="0"/>
          <w:color w:val="000000"/>
          <w:sz w:val="30"/>
        </w:rPr>
        <w:t>4.1  信度检验</w:t>
      </w:r>
      <w:bookmarkEnd w:id="36"/>
    </w:p>
    <w:p w14:paraId="68DC848E">
      <w:pPr>
        <w:keepNext w:val="0"/>
        <w:keepLines w:val="0"/>
        <w:spacing w:before="120" w:after="120" w:line="240" w:lineRule="auto"/>
        <w:ind w:firstLine="420"/>
        <w:jc w:val="both"/>
      </w:pPr>
      <w:r>
        <w:rPr>
          <w:rFonts w:ascii="Times New Roman" w:hAnsi="Times New Roman" w:eastAsia="宋体"/>
          <w:b w:val="0"/>
          <w:i w:val="0"/>
          <w:sz w:val="21"/>
        </w:rPr>
        <w:t>对各多题项量表进行Cronbach's α系数检验，结果表明所有量表均达到良好信度水平：AI素养量表α=0.87，AI技术信任量表α=0.95，媒体信任量表α=0.90，AI新闻信任量表α=0.88。上述结果满足后续分析的信度要求。</w:t>
      </w:r>
    </w:p>
    <w:p w14:paraId="0C909250">
      <w:pPr>
        <w:pStyle w:val="4"/>
        <w:keepNext/>
        <w:keepLines w:val="0"/>
        <w:spacing w:before="240" w:after="120" w:line="240" w:lineRule="auto"/>
        <w:jc w:val="left"/>
      </w:pPr>
      <w:bookmarkStart w:id="37" w:name="_Toc878722567"/>
      <w:r>
        <w:rPr>
          <w:rFonts w:ascii="Times New Roman" w:hAnsi="Times New Roman" w:eastAsia="黑体"/>
          <w:b/>
          <w:i w:val="0"/>
          <w:color w:val="000000"/>
          <w:sz w:val="30"/>
        </w:rPr>
        <w:t>4.2  描述统计与相关分析</w:t>
      </w:r>
      <w:bookmarkEnd w:id="37"/>
    </w:p>
    <w:p w14:paraId="5D2E1D9D">
      <w:pPr>
        <w:keepNext w:val="0"/>
        <w:keepLines w:val="0"/>
        <w:spacing w:before="120" w:after="120" w:line="240" w:lineRule="auto"/>
        <w:ind w:firstLine="420"/>
        <w:jc w:val="both"/>
      </w:pPr>
      <w:r>
        <w:rPr>
          <w:rFonts w:ascii="Times New Roman" w:hAnsi="Times New Roman" w:eastAsia="宋体"/>
          <w:b w:val="0"/>
          <w:i w:val="0"/>
          <w:sz w:val="21"/>
        </w:rPr>
        <w:t>各核心变量的描述统计结果与Pearson相关系数矩阵已在第三章表1中呈现。相关分析结果显示，AI素养与AI新闻信任呈显著正相关（r=0.23，p&lt;0.001），而AI新闻接触频率与AI新闻信任呈显著负相关（r=-0.22，p&lt;0.001），两者方向相反，初步支持本研究的核心发现。AI技术信任与AI新闻信任之间呈高度正相关（r=0.61，p&lt;0.001），为中介效应的存在提供了初步依据。AI素养与AI新闻接触频率之间的相关系数较低（r=-0.11，p&lt;0.01），两个自变量之间不存在严重的多重共线性问题（VIF=1.06）。</w:t>
      </w:r>
    </w:p>
    <w:p w14:paraId="6E3ECAC5">
      <w:pPr>
        <w:pStyle w:val="4"/>
        <w:keepNext/>
        <w:keepLines w:val="0"/>
        <w:spacing w:before="240" w:after="120" w:line="240" w:lineRule="auto"/>
        <w:jc w:val="left"/>
      </w:pPr>
      <w:bookmarkStart w:id="38" w:name="_Toc445143150"/>
      <w:r>
        <w:rPr>
          <w:rFonts w:ascii="Times New Roman" w:hAnsi="Times New Roman" w:eastAsia="黑体"/>
          <w:b/>
          <w:i w:val="0"/>
          <w:color w:val="000000"/>
          <w:sz w:val="30"/>
        </w:rPr>
        <w:t>4.3  主效应检验</w:t>
      </w:r>
      <w:bookmarkEnd w:id="38"/>
    </w:p>
    <w:p w14:paraId="1D2AE6CC">
      <w:pPr>
        <w:keepNext w:val="0"/>
        <w:keepLines w:val="0"/>
        <w:spacing w:before="120" w:after="12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为检验H1与H2，分别以AI技术信任为因变量，对AI素养（模型1）和AI新闻接触频率（模型2）进行线性回归分析，并纳入控制变量。结果见表2。</w:t>
      </w:r>
    </w:p>
    <w:p w14:paraId="5844A531">
      <w:pPr>
        <w:keepNext w:val="0"/>
        <w:keepLines w:val="0"/>
        <w:spacing w:before="120" w:after="120" w:line="240" w:lineRule="auto"/>
        <w:jc w:val="both"/>
        <w:rPr>
          <w:rFonts w:ascii="Times New Roman" w:hAnsi="Times New Roman" w:eastAsia="宋体"/>
          <w:b w:val="0"/>
          <w:i w:val="0"/>
          <w:sz w:val="21"/>
        </w:rPr>
      </w:pPr>
    </w:p>
    <w:p w14:paraId="685CE6CC">
      <w:pPr>
        <w:spacing w:before="200" w:after="80"/>
        <w:jc w:val="center"/>
        <w:rPr>
          <w:b w:val="0"/>
          <w:bCs w:val="0"/>
          <w:sz w:val="18"/>
          <w:szCs w:val="18"/>
        </w:rPr>
      </w:pPr>
      <w:r>
        <w:rPr>
          <w:rFonts w:ascii="Times New Roman" w:eastAsia="宋体"/>
          <w:b w:val="0"/>
          <w:bCs w:val="0"/>
          <w:sz w:val="18"/>
          <w:szCs w:val="18"/>
        </w:rPr>
        <w:t>表2  AI素养与AI新闻接触频率对AI技术信任的回归分析（n=904）</w:t>
      </w:r>
    </w:p>
    <w:tbl>
      <w:tblPr>
        <w:tblStyle w:val="3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668"/>
        <w:gridCol w:w="668"/>
        <w:gridCol w:w="668"/>
        <w:gridCol w:w="747"/>
        <w:gridCol w:w="668"/>
        <w:gridCol w:w="668"/>
        <w:gridCol w:w="668"/>
        <w:gridCol w:w="1325"/>
        <w:gridCol w:w="440"/>
        <w:gridCol w:w="440"/>
      </w:tblGrid>
      <w:tr w14:paraId="180C03E1">
        <w:tc>
          <w:tcPr>
            <w:tcW w:w="2800" w:type="dxa"/>
            <w:tcBorders>
              <w:top w:val="single" w:color="000000" w:sz="0" w:space="0"/>
              <w:left w:val="nil"/>
              <w:bottom w:val="nil"/>
              <w:right w:val="nil"/>
            </w:tcBorders>
            <w:tcMar>
              <w:top w:w="80" w:type="dxa"/>
              <w:left w:w="120" w:type="dxa"/>
              <w:bottom w:w="80" w:type="dxa"/>
              <w:right w:w="120" w:type="dxa"/>
            </w:tcMar>
            <w:vAlign w:val="center"/>
          </w:tcPr>
          <w:p w14:paraId="1B08AA66">
            <w:pPr>
              <w:jc w:val="left"/>
            </w:pPr>
            <w:r>
              <w:rPr>
                <w:rFonts w:ascii="Times New Roman" w:eastAsia="宋体"/>
                <w:b/>
                <w:bCs/>
                <w:i w:val="0"/>
                <w:iCs w:val="0"/>
                <w:color w:val="000000"/>
                <w:sz w:val="18"/>
                <w:szCs w:val="18"/>
              </w:rPr>
              <w:t>变量</w:t>
            </w:r>
          </w:p>
        </w:tc>
        <w:tc>
          <w:tcPr>
            <w:tcW w:w="2800" w:type="dxa"/>
            <w:gridSpan w:val="4"/>
            <w:tcBorders>
              <w:top w:val="single" w:color="000000" w:sz="0" w:space="0"/>
              <w:left w:val="nil"/>
              <w:bottom w:val="nil"/>
              <w:right w:val="nil"/>
            </w:tcBorders>
            <w:tcMar>
              <w:top w:w="80" w:type="dxa"/>
              <w:left w:w="120" w:type="dxa"/>
              <w:bottom w:w="80" w:type="dxa"/>
              <w:right w:w="120" w:type="dxa"/>
            </w:tcMar>
            <w:vAlign w:val="center"/>
          </w:tcPr>
          <w:p w14:paraId="24AA3963">
            <w:pPr>
              <w:jc w:val="center"/>
            </w:pPr>
            <w:r>
              <w:rPr>
                <w:rFonts w:ascii="Times New Roman" w:eastAsia="宋体"/>
                <w:b/>
                <w:bCs/>
                <w:i w:val="0"/>
                <w:iCs w:val="0"/>
                <w:color w:val="000000"/>
                <w:sz w:val="18"/>
                <w:szCs w:val="18"/>
              </w:rPr>
              <w:t>模型1（H1）</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004728F8">
            <w:pPr>
              <w:jc w:val="left"/>
            </w:pP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06C0D7A4">
            <w:pPr>
              <w:jc w:val="left"/>
            </w:pPr>
          </w:p>
        </w:tc>
        <w:tc>
          <w:tcPr>
            <w:tcW w:w="2800" w:type="dxa"/>
            <w:gridSpan w:val="2"/>
            <w:tcBorders>
              <w:top w:val="single" w:color="000000" w:sz="0" w:space="0"/>
              <w:left w:val="nil"/>
              <w:bottom w:val="nil"/>
              <w:right w:val="nil"/>
            </w:tcBorders>
            <w:tcMar>
              <w:top w:w="80" w:type="dxa"/>
              <w:left w:w="120" w:type="dxa"/>
              <w:bottom w:w="80" w:type="dxa"/>
              <w:right w:w="120" w:type="dxa"/>
            </w:tcMar>
            <w:vAlign w:val="center"/>
          </w:tcPr>
          <w:p w14:paraId="29596134">
            <w:pPr>
              <w:jc w:val="center"/>
            </w:pPr>
            <w:r>
              <w:rPr>
                <w:rFonts w:ascii="Times New Roman" w:eastAsia="宋体"/>
                <w:b/>
                <w:bCs/>
                <w:i w:val="0"/>
                <w:iCs w:val="0"/>
                <w:color w:val="000000"/>
                <w:sz w:val="18"/>
                <w:szCs w:val="18"/>
              </w:rPr>
              <w:t>模型2（H2）</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7D3890ED">
            <w:pPr>
              <w:jc w:val="left"/>
            </w:pP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532A909B">
            <w:pPr>
              <w:jc w:val="left"/>
            </w:pPr>
          </w:p>
        </w:tc>
      </w:tr>
      <w:tr w14:paraId="5C8CE58C">
        <w:trPr>
          <w:gridAfter w:val="2"/>
          <w:wAfter w:w="916" w:type="dxa"/>
        </w:trPr>
        <w:tc>
          <w:tcPr>
            <w:tcW w:w="2800" w:type="dxa"/>
            <w:tcBorders>
              <w:top w:val="nil"/>
              <w:left w:val="nil"/>
              <w:bottom w:val="nil"/>
              <w:right w:val="nil"/>
            </w:tcBorders>
            <w:tcMar>
              <w:top w:w="80" w:type="dxa"/>
              <w:left w:w="120" w:type="dxa"/>
              <w:bottom w:w="80" w:type="dxa"/>
              <w:right w:w="120" w:type="dxa"/>
            </w:tcMar>
            <w:vAlign w:val="center"/>
          </w:tcPr>
          <w:p w14:paraId="21348BEA">
            <w:pPr>
              <w:jc w:val="left"/>
            </w:pPr>
          </w:p>
        </w:tc>
        <w:tc>
          <w:tcPr>
            <w:tcW w:w="700" w:type="dxa"/>
            <w:tcBorders>
              <w:top w:val="nil"/>
              <w:left w:val="nil"/>
              <w:bottom w:val="nil"/>
              <w:right w:val="nil"/>
            </w:tcBorders>
            <w:tcMar>
              <w:top w:w="80" w:type="dxa"/>
              <w:left w:w="120" w:type="dxa"/>
              <w:bottom w:w="80" w:type="dxa"/>
              <w:right w:w="120" w:type="dxa"/>
            </w:tcMar>
            <w:vAlign w:val="center"/>
          </w:tcPr>
          <w:p w14:paraId="670569A0">
            <w:pPr>
              <w:jc w:val="center"/>
            </w:pPr>
            <w:r>
              <w:rPr>
                <w:rFonts w:ascii="Times New Roman" w:eastAsia="宋体"/>
                <w:b/>
                <w:bCs/>
                <w:i w:val="0"/>
                <w:iCs w:val="0"/>
                <w:color w:val="000000"/>
                <w:sz w:val="18"/>
                <w:szCs w:val="18"/>
              </w:rPr>
              <w:t>B</w:t>
            </w:r>
          </w:p>
        </w:tc>
        <w:tc>
          <w:tcPr>
            <w:tcW w:w="700" w:type="dxa"/>
            <w:tcBorders>
              <w:top w:val="nil"/>
              <w:left w:val="nil"/>
              <w:bottom w:val="nil"/>
              <w:right w:val="nil"/>
            </w:tcBorders>
            <w:tcMar>
              <w:top w:w="80" w:type="dxa"/>
              <w:left w:w="120" w:type="dxa"/>
              <w:bottom w:w="80" w:type="dxa"/>
              <w:right w:w="120" w:type="dxa"/>
            </w:tcMar>
            <w:vAlign w:val="center"/>
          </w:tcPr>
          <w:p w14:paraId="1977204B">
            <w:pPr>
              <w:jc w:val="center"/>
            </w:pPr>
            <w:r>
              <w:rPr>
                <w:rFonts w:ascii="Times New Roman" w:eastAsia="宋体"/>
                <w:b/>
                <w:bCs/>
                <w:i w:val="0"/>
                <w:iCs w:val="0"/>
                <w:color w:val="000000"/>
                <w:sz w:val="18"/>
                <w:szCs w:val="18"/>
              </w:rPr>
              <w:t>SE</w:t>
            </w:r>
          </w:p>
        </w:tc>
        <w:tc>
          <w:tcPr>
            <w:tcW w:w="700" w:type="dxa"/>
            <w:tcBorders>
              <w:top w:val="nil"/>
              <w:left w:val="nil"/>
              <w:bottom w:val="nil"/>
              <w:right w:val="nil"/>
            </w:tcBorders>
            <w:tcMar>
              <w:top w:w="80" w:type="dxa"/>
              <w:left w:w="120" w:type="dxa"/>
              <w:bottom w:w="80" w:type="dxa"/>
              <w:right w:w="120" w:type="dxa"/>
            </w:tcMar>
            <w:vAlign w:val="center"/>
          </w:tcPr>
          <w:p w14:paraId="034A0BBC">
            <w:pPr>
              <w:jc w:val="center"/>
            </w:pPr>
            <w:r>
              <w:rPr>
                <w:rFonts w:ascii="Times New Roman" w:eastAsia="宋体"/>
                <w:b/>
                <w:bCs/>
                <w:i/>
                <w:iCs/>
                <w:color w:val="000000"/>
                <w:sz w:val="18"/>
                <w:szCs w:val="18"/>
              </w:rPr>
              <w:t>β</w:t>
            </w:r>
          </w:p>
        </w:tc>
        <w:tc>
          <w:tcPr>
            <w:tcW w:w="700" w:type="dxa"/>
            <w:tcBorders>
              <w:top w:val="nil"/>
              <w:left w:val="nil"/>
              <w:bottom w:val="nil"/>
              <w:right w:val="nil"/>
            </w:tcBorders>
            <w:tcMar>
              <w:top w:w="80" w:type="dxa"/>
              <w:left w:w="120" w:type="dxa"/>
              <w:bottom w:w="80" w:type="dxa"/>
              <w:right w:w="120" w:type="dxa"/>
            </w:tcMar>
            <w:vAlign w:val="center"/>
          </w:tcPr>
          <w:p w14:paraId="467FE454">
            <w:pPr>
              <w:jc w:val="center"/>
            </w:pPr>
            <w:r>
              <w:rPr>
                <w:rFonts w:ascii="Times New Roman" w:eastAsia="宋体"/>
                <w:b/>
                <w:bCs/>
                <w:i/>
                <w:iCs/>
                <w:color w:val="000000"/>
                <w:sz w:val="18"/>
                <w:szCs w:val="18"/>
              </w:rPr>
              <w:t>p</w:t>
            </w:r>
          </w:p>
        </w:tc>
        <w:tc>
          <w:tcPr>
            <w:tcW w:w="700" w:type="dxa"/>
            <w:tcBorders>
              <w:top w:val="nil"/>
              <w:left w:val="nil"/>
              <w:bottom w:val="nil"/>
              <w:right w:val="nil"/>
            </w:tcBorders>
            <w:tcMar>
              <w:top w:w="80" w:type="dxa"/>
              <w:left w:w="120" w:type="dxa"/>
              <w:bottom w:w="80" w:type="dxa"/>
              <w:right w:w="120" w:type="dxa"/>
            </w:tcMar>
            <w:vAlign w:val="center"/>
          </w:tcPr>
          <w:p w14:paraId="6573E2CC">
            <w:pPr>
              <w:jc w:val="center"/>
            </w:pPr>
            <w:r>
              <w:rPr>
                <w:rFonts w:ascii="Times New Roman" w:eastAsia="宋体"/>
                <w:b/>
                <w:bCs/>
                <w:i w:val="0"/>
                <w:iCs w:val="0"/>
                <w:color w:val="000000"/>
                <w:sz w:val="18"/>
                <w:szCs w:val="18"/>
              </w:rPr>
              <w:t>B</w:t>
            </w:r>
          </w:p>
        </w:tc>
        <w:tc>
          <w:tcPr>
            <w:tcW w:w="700" w:type="dxa"/>
            <w:tcBorders>
              <w:top w:val="nil"/>
              <w:left w:val="nil"/>
              <w:bottom w:val="nil"/>
              <w:right w:val="nil"/>
            </w:tcBorders>
            <w:tcMar>
              <w:top w:w="80" w:type="dxa"/>
              <w:left w:w="120" w:type="dxa"/>
              <w:bottom w:w="80" w:type="dxa"/>
              <w:right w:w="120" w:type="dxa"/>
            </w:tcMar>
            <w:vAlign w:val="center"/>
          </w:tcPr>
          <w:p w14:paraId="3D907DF0">
            <w:pPr>
              <w:jc w:val="center"/>
            </w:pPr>
            <w:r>
              <w:rPr>
                <w:rFonts w:ascii="Times New Roman" w:eastAsia="宋体"/>
                <w:b/>
                <w:bCs/>
                <w:i w:val="0"/>
                <w:iCs w:val="0"/>
                <w:color w:val="000000"/>
                <w:sz w:val="18"/>
                <w:szCs w:val="18"/>
              </w:rPr>
              <w:t>SE</w:t>
            </w:r>
          </w:p>
        </w:tc>
        <w:tc>
          <w:tcPr>
            <w:tcW w:w="700" w:type="dxa"/>
            <w:tcBorders>
              <w:top w:val="nil"/>
              <w:left w:val="nil"/>
              <w:bottom w:val="nil"/>
              <w:right w:val="nil"/>
            </w:tcBorders>
            <w:tcMar>
              <w:top w:w="80" w:type="dxa"/>
              <w:left w:w="120" w:type="dxa"/>
              <w:bottom w:w="80" w:type="dxa"/>
              <w:right w:w="120" w:type="dxa"/>
            </w:tcMar>
            <w:vAlign w:val="center"/>
          </w:tcPr>
          <w:p w14:paraId="2781EB04">
            <w:pPr>
              <w:jc w:val="center"/>
            </w:pPr>
            <w:r>
              <w:rPr>
                <w:rFonts w:ascii="Times New Roman" w:eastAsia="宋体"/>
                <w:b/>
                <w:bCs/>
                <w:i/>
                <w:iCs/>
                <w:color w:val="000000"/>
                <w:sz w:val="18"/>
                <w:szCs w:val="18"/>
              </w:rPr>
              <w:t>β</w:t>
            </w:r>
          </w:p>
        </w:tc>
        <w:tc>
          <w:tcPr>
            <w:tcW w:w="700" w:type="dxa"/>
            <w:tcBorders>
              <w:top w:val="nil"/>
              <w:left w:val="nil"/>
              <w:bottom w:val="nil"/>
              <w:right w:val="nil"/>
            </w:tcBorders>
            <w:tcMar>
              <w:top w:w="80" w:type="dxa"/>
              <w:left w:w="120" w:type="dxa"/>
              <w:bottom w:w="80" w:type="dxa"/>
              <w:right w:w="120" w:type="dxa"/>
            </w:tcMar>
            <w:vAlign w:val="center"/>
          </w:tcPr>
          <w:p w14:paraId="794AE5E3">
            <w:pPr>
              <w:jc w:val="center"/>
            </w:pPr>
            <w:r>
              <w:rPr>
                <w:rFonts w:ascii="Times New Roman" w:eastAsia="宋体"/>
                <w:b/>
                <w:bCs/>
                <w:i/>
                <w:iCs/>
                <w:color w:val="000000"/>
                <w:sz w:val="18"/>
                <w:szCs w:val="18"/>
              </w:rPr>
              <w:t>p</w:t>
            </w:r>
          </w:p>
        </w:tc>
      </w:tr>
      <w:tr w14:paraId="524BEB6B">
        <w:trPr>
          <w:gridAfter w:val="2"/>
          <w:wAfter w:w="916" w:type="dxa"/>
        </w:trPr>
        <w:tc>
          <w:tcPr>
            <w:tcW w:w="2800" w:type="dxa"/>
            <w:tcBorders>
              <w:top w:val="single" w:color="000000" w:sz="0" w:space="0"/>
              <w:left w:val="nil"/>
              <w:bottom w:val="nil"/>
              <w:right w:val="nil"/>
            </w:tcBorders>
            <w:tcMar>
              <w:top w:w="80" w:type="dxa"/>
              <w:left w:w="120" w:type="dxa"/>
              <w:bottom w:w="80" w:type="dxa"/>
              <w:right w:w="120" w:type="dxa"/>
            </w:tcMar>
            <w:vAlign w:val="center"/>
          </w:tcPr>
          <w:p w14:paraId="16714CB5">
            <w:pPr>
              <w:jc w:val="left"/>
            </w:pPr>
            <w:r>
              <w:rPr>
                <w:rFonts w:ascii="Times New Roman" w:eastAsia="宋体"/>
                <w:b w:val="0"/>
                <w:bCs w:val="0"/>
                <w:i w:val="0"/>
                <w:iCs w:val="0"/>
                <w:color w:val="000000"/>
                <w:sz w:val="18"/>
                <w:szCs w:val="18"/>
              </w:rPr>
              <w:t>AI素养</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61E2723E">
            <w:pPr>
              <w:jc w:val="center"/>
            </w:pPr>
            <w:r>
              <w:rPr>
                <w:rFonts w:ascii="Times New Roman" w:eastAsia="宋体"/>
                <w:b w:val="0"/>
                <w:bCs w:val="0"/>
                <w:i w:val="0"/>
                <w:iCs w:val="0"/>
                <w:color w:val="000000"/>
                <w:sz w:val="18"/>
                <w:szCs w:val="18"/>
              </w:rPr>
              <w:t>0.605</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4B77E081">
            <w:pPr>
              <w:jc w:val="center"/>
            </w:pPr>
            <w:r>
              <w:rPr>
                <w:rFonts w:ascii="Times New Roman" w:eastAsia="宋体"/>
                <w:b w:val="0"/>
                <w:bCs w:val="0"/>
                <w:i w:val="0"/>
                <w:iCs w:val="0"/>
                <w:color w:val="000000"/>
                <w:sz w:val="18"/>
                <w:szCs w:val="18"/>
              </w:rPr>
              <w:t>0.031</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1B06811C">
            <w:pPr>
              <w:jc w:val="center"/>
            </w:pPr>
            <w:r>
              <w:rPr>
                <w:rFonts w:ascii="Times New Roman" w:eastAsia="宋体"/>
                <w:b w:val="0"/>
                <w:bCs w:val="0"/>
                <w:i w:val="0"/>
                <w:iCs w:val="0"/>
                <w:color w:val="000000"/>
                <w:sz w:val="18"/>
                <w:szCs w:val="18"/>
              </w:rPr>
              <w:t>0.539</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61FC89C3">
            <w:pPr>
              <w:jc w:val="center"/>
            </w:pPr>
            <w:r>
              <w:rPr>
                <w:rFonts w:ascii="Times New Roman" w:eastAsia="宋体"/>
                <w:b w:val="0"/>
                <w:bCs w:val="0"/>
                <w:i w:val="0"/>
                <w:iCs w:val="0"/>
                <w:color w:val="000000"/>
                <w:sz w:val="18"/>
                <w:szCs w:val="18"/>
              </w:rPr>
              <w:t>&lt;0.001</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3236EC30">
            <w:pPr>
              <w:jc w:val="center"/>
            </w:pPr>
            <w:r>
              <w:rPr>
                <w:rFonts w:ascii="Times New Roman" w:eastAsia="宋体"/>
                <w:b w:val="0"/>
                <w:bCs w:val="0"/>
                <w:i w:val="0"/>
                <w:iCs w:val="0"/>
                <w:color w:val="000000"/>
                <w:sz w:val="18"/>
                <w:szCs w:val="18"/>
              </w:rPr>
              <w:t>—</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01FB3383">
            <w:pPr>
              <w:jc w:val="center"/>
            </w:pPr>
            <w:r>
              <w:rPr>
                <w:rFonts w:ascii="Times New Roman" w:eastAsia="宋体"/>
                <w:b w:val="0"/>
                <w:bCs w:val="0"/>
                <w:i w:val="0"/>
                <w:iCs w:val="0"/>
                <w:color w:val="000000"/>
                <w:sz w:val="18"/>
                <w:szCs w:val="18"/>
              </w:rPr>
              <w:t>—</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441A0F41">
            <w:pPr>
              <w:jc w:val="center"/>
            </w:pPr>
            <w:r>
              <w:rPr>
                <w:rFonts w:ascii="Times New Roman" w:eastAsia="宋体"/>
                <w:b w:val="0"/>
                <w:bCs w:val="0"/>
                <w:i w:val="0"/>
                <w:iCs w:val="0"/>
                <w:color w:val="000000"/>
                <w:sz w:val="18"/>
                <w:szCs w:val="18"/>
              </w:rPr>
              <w:t>—</w:t>
            </w:r>
          </w:p>
        </w:tc>
        <w:tc>
          <w:tcPr>
            <w:tcW w:w="700" w:type="dxa"/>
            <w:tcBorders>
              <w:top w:val="single" w:color="000000" w:sz="0" w:space="0"/>
              <w:left w:val="nil"/>
              <w:bottom w:val="nil"/>
              <w:right w:val="nil"/>
            </w:tcBorders>
            <w:tcMar>
              <w:top w:w="80" w:type="dxa"/>
              <w:left w:w="120" w:type="dxa"/>
              <w:bottom w:w="80" w:type="dxa"/>
              <w:right w:w="120" w:type="dxa"/>
            </w:tcMar>
            <w:vAlign w:val="center"/>
          </w:tcPr>
          <w:p w14:paraId="28EA79F9">
            <w:pPr>
              <w:jc w:val="center"/>
            </w:pPr>
            <w:r>
              <w:rPr>
                <w:rFonts w:ascii="Times New Roman" w:eastAsia="宋体"/>
                <w:b w:val="0"/>
                <w:bCs w:val="0"/>
                <w:i w:val="0"/>
                <w:iCs w:val="0"/>
                <w:color w:val="000000"/>
                <w:sz w:val="18"/>
                <w:szCs w:val="18"/>
              </w:rPr>
              <w:t>—</w:t>
            </w:r>
          </w:p>
        </w:tc>
      </w:tr>
      <w:tr w14:paraId="2EDA2777">
        <w:trPr>
          <w:gridAfter w:val="2"/>
          <w:wAfter w:w="916" w:type="dxa"/>
        </w:trPr>
        <w:tc>
          <w:tcPr>
            <w:tcW w:w="2800" w:type="dxa"/>
            <w:tcBorders>
              <w:top w:val="nil"/>
              <w:left w:val="nil"/>
              <w:bottom w:val="nil"/>
              <w:right w:val="nil"/>
            </w:tcBorders>
            <w:tcMar>
              <w:top w:w="80" w:type="dxa"/>
              <w:left w:w="120" w:type="dxa"/>
              <w:bottom w:w="80" w:type="dxa"/>
              <w:right w:w="120" w:type="dxa"/>
            </w:tcMar>
            <w:vAlign w:val="center"/>
          </w:tcPr>
          <w:p w14:paraId="6509E681">
            <w:pPr>
              <w:jc w:val="left"/>
            </w:pPr>
            <w:r>
              <w:rPr>
                <w:rFonts w:ascii="Times New Roman" w:eastAsia="宋体"/>
                <w:b w:val="0"/>
                <w:bCs w:val="0"/>
                <w:i w:val="0"/>
                <w:iCs w:val="0"/>
                <w:color w:val="000000"/>
                <w:sz w:val="18"/>
                <w:szCs w:val="18"/>
              </w:rPr>
              <w:t>AI新闻接触频率</w:t>
            </w:r>
          </w:p>
        </w:tc>
        <w:tc>
          <w:tcPr>
            <w:tcW w:w="700" w:type="dxa"/>
            <w:tcBorders>
              <w:top w:val="nil"/>
              <w:left w:val="nil"/>
              <w:bottom w:val="nil"/>
              <w:right w:val="nil"/>
            </w:tcBorders>
            <w:tcMar>
              <w:top w:w="80" w:type="dxa"/>
              <w:left w:w="120" w:type="dxa"/>
              <w:bottom w:w="80" w:type="dxa"/>
              <w:right w:w="120" w:type="dxa"/>
            </w:tcMar>
            <w:vAlign w:val="center"/>
          </w:tcPr>
          <w:p w14:paraId="4917C7D8">
            <w:pPr>
              <w:jc w:val="center"/>
            </w:pPr>
            <w:r>
              <w:rPr>
                <w:rFonts w:ascii="Times New Roman" w:eastAsia="宋体"/>
                <w:b w:val="0"/>
                <w:bCs w:val="0"/>
                <w:i w:val="0"/>
                <w:iCs w:val="0"/>
                <w:color w:val="000000"/>
                <w:sz w:val="18"/>
                <w:szCs w:val="18"/>
              </w:rPr>
              <w:t>—</w:t>
            </w:r>
          </w:p>
        </w:tc>
        <w:tc>
          <w:tcPr>
            <w:tcW w:w="700" w:type="dxa"/>
            <w:tcBorders>
              <w:top w:val="nil"/>
              <w:left w:val="nil"/>
              <w:bottom w:val="nil"/>
              <w:right w:val="nil"/>
            </w:tcBorders>
            <w:tcMar>
              <w:top w:w="80" w:type="dxa"/>
              <w:left w:w="120" w:type="dxa"/>
              <w:bottom w:w="80" w:type="dxa"/>
              <w:right w:w="120" w:type="dxa"/>
            </w:tcMar>
            <w:vAlign w:val="center"/>
          </w:tcPr>
          <w:p w14:paraId="66F2B1E9">
            <w:pPr>
              <w:jc w:val="center"/>
            </w:pPr>
            <w:r>
              <w:rPr>
                <w:rFonts w:ascii="Times New Roman" w:eastAsia="宋体"/>
                <w:b w:val="0"/>
                <w:bCs w:val="0"/>
                <w:i w:val="0"/>
                <w:iCs w:val="0"/>
                <w:color w:val="000000"/>
                <w:sz w:val="18"/>
                <w:szCs w:val="18"/>
              </w:rPr>
              <w:t>—</w:t>
            </w:r>
          </w:p>
        </w:tc>
        <w:tc>
          <w:tcPr>
            <w:tcW w:w="700" w:type="dxa"/>
            <w:tcBorders>
              <w:top w:val="nil"/>
              <w:left w:val="nil"/>
              <w:bottom w:val="nil"/>
              <w:right w:val="nil"/>
            </w:tcBorders>
            <w:tcMar>
              <w:top w:w="80" w:type="dxa"/>
              <w:left w:w="120" w:type="dxa"/>
              <w:bottom w:w="80" w:type="dxa"/>
              <w:right w:w="120" w:type="dxa"/>
            </w:tcMar>
            <w:vAlign w:val="center"/>
          </w:tcPr>
          <w:p w14:paraId="2591A42F">
            <w:pPr>
              <w:jc w:val="center"/>
            </w:pPr>
            <w:r>
              <w:rPr>
                <w:rFonts w:ascii="Times New Roman" w:eastAsia="宋体"/>
                <w:b w:val="0"/>
                <w:bCs w:val="0"/>
                <w:i w:val="0"/>
                <w:iCs w:val="0"/>
                <w:color w:val="000000"/>
                <w:sz w:val="18"/>
                <w:szCs w:val="18"/>
              </w:rPr>
              <w:t>—</w:t>
            </w:r>
          </w:p>
        </w:tc>
        <w:tc>
          <w:tcPr>
            <w:tcW w:w="700" w:type="dxa"/>
            <w:tcBorders>
              <w:top w:val="nil"/>
              <w:left w:val="nil"/>
              <w:bottom w:val="nil"/>
              <w:right w:val="nil"/>
            </w:tcBorders>
            <w:tcMar>
              <w:top w:w="80" w:type="dxa"/>
              <w:left w:w="120" w:type="dxa"/>
              <w:bottom w:w="80" w:type="dxa"/>
              <w:right w:w="120" w:type="dxa"/>
            </w:tcMar>
            <w:vAlign w:val="center"/>
          </w:tcPr>
          <w:p w14:paraId="09C65236">
            <w:pPr>
              <w:jc w:val="center"/>
            </w:pPr>
            <w:r>
              <w:rPr>
                <w:rFonts w:ascii="Times New Roman" w:eastAsia="宋体"/>
                <w:b w:val="0"/>
                <w:bCs w:val="0"/>
                <w:i w:val="0"/>
                <w:iCs w:val="0"/>
                <w:color w:val="000000"/>
                <w:sz w:val="18"/>
                <w:szCs w:val="18"/>
              </w:rPr>
              <w:t>—</w:t>
            </w:r>
          </w:p>
        </w:tc>
        <w:tc>
          <w:tcPr>
            <w:tcW w:w="700" w:type="dxa"/>
            <w:tcBorders>
              <w:top w:val="nil"/>
              <w:left w:val="nil"/>
              <w:bottom w:val="nil"/>
              <w:right w:val="nil"/>
            </w:tcBorders>
            <w:tcMar>
              <w:top w:w="80" w:type="dxa"/>
              <w:left w:w="120" w:type="dxa"/>
              <w:bottom w:w="80" w:type="dxa"/>
              <w:right w:w="120" w:type="dxa"/>
            </w:tcMar>
            <w:vAlign w:val="center"/>
          </w:tcPr>
          <w:p w14:paraId="75AD15F6">
            <w:pPr>
              <w:jc w:val="center"/>
            </w:pPr>
            <w:r>
              <w:rPr>
                <w:rFonts w:ascii="Times New Roman" w:eastAsia="宋体"/>
                <w:b w:val="0"/>
                <w:bCs w:val="0"/>
                <w:i w:val="0"/>
                <w:iCs w:val="0"/>
                <w:color w:val="000000"/>
                <w:sz w:val="18"/>
                <w:szCs w:val="18"/>
              </w:rPr>
              <w:t>-0.043</w:t>
            </w:r>
          </w:p>
        </w:tc>
        <w:tc>
          <w:tcPr>
            <w:tcW w:w="700" w:type="dxa"/>
            <w:tcBorders>
              <w:top w:val="nil"/>
              <w:left w:val="nil"/>
              <w:bottom w:val="nil"/>
              <w:right w:val="nil"/>
            </w:tcBorders>
            <w:tcMar>
              <w:top w:w="80" w:type="dxa"/>
              <w:left w:w="120" w:type="dxa"/>
              <w:bottom w:w="80" w:type="dxa"/>
              <w:right w:w="120" w:type="dxa"/>
            </w:tcMar>
            <w:vAlign w:val="center"/>
          </w:tcPr>
          <w:p w14:paraId="466FDAE6">
            <w:pPr>
              <w:jc w:val="center"/>
            </w:pPr>
            <w:r>
              <w:rPr>
                <w:rFonts w:ascii="Times New Roman" w:eastAsia="宋体"/>
                <w:b w:val="0"/>
                <w:bCs w:val="0"/>
                <w:i w:val="0"/>
                <w:iCs w:val="0"/>
                <w:color w:val="000000"/>
                <w:sz w:val="18"/>
                <w:szCs w:val="18"/>
              </w:rPr>
              <w:t>0.015</w:t>
            </w:r>
          </w:p>
        </w:tc>
        <w:tc>
          <w:tcPr>
            <w:tcW w:w="700" w:type="dxa"/>
            <w:tcBorders>
              <w:top w:val="nil"/>
              <w:left w:val="nil"/>
              <w:bottom w:val="nil"/>
              <w:right w:val="nil"/>
            </w:tcBorders>
            <w:tcMar>
              <w:top w:w="80" w:type="dxa"/>
              <w:left w:w="120" w:type="dxa"/>
              <w:bottom w:w="80" w:type="dxa"/>
              <w:right w:w="120" w:type="dxa"/>
            </w:tcMar>
            <w:vAlign w:val="center"/>
          </w:tcPr>
          <w:p w14:paraId="1227AB82">
            <w:pPr>
              <w:jc w:val="center"/>
            </w:pPr>
            <w:r>
              <w:rPr>
                <w:rFonts w:ascii="Times New Roman" w:eastAsia="宋体"/>
                <w:b w:val="0"/>
                <w:bCs w:val="0"/>
                <w:i w:val="0"/>
                <w:iCs w:val="0"/>
                <w:color w:val="000000"/>
                <w:sz w:val="18"/>
                <w:szCs w:val="18"/>
              </w:rPr>
              <w:t>-0.097</w:t>
            </w:r>
          </w:p>
        </w:tc>
        <w:tc>
          <w:tcPr>
            <w:tcW w:w="700" w:type="dxa"/>
            <w:tcBorders>
              <w:top w:val="nil"/>
              <w:left w:val="nil"/>
              <w:bottom w:val="nil"/>
              <w:right w:val="nil"/>
            </w:tcBorders>
            <w:tcMar>
              <w:top w:w="80" w:type="dxa"/>
              <w:left w:w="120" w:type="dxa"/>
              <w:bottom w:w="80" w:type="dxa"/>
              <w:right w:w="120" w:type="dxa"/>
            </w:tcMar>
            <w:vAlign w:val="center"/>
          </w:tcPr>
          <w:p w14:paraId="56960217">
            <w:pPr>
              <w:jc w:val="center"/>
            </w:pPr>
            <w:r>
              <w:rPr>
                <w:rFonts w:ascii="Times New Roman" w:eastAsia="宋体"/>
                <w:b w:val="0"/>
                <w:bCs w:val="0"/>
                <w:i w:val="0"/>
                <w:iCs w:val="0"/>
                <w:color w:val="000000"/>
                <w:sz w:val="18"/>
                <w:szCs w:val="18"/>
              </w:rPr>
              <w:t>0.005</w:t>
            </w:r>
          </w:p>
        </w:tc>
      </w:tr>
      <w:tr w14:paraId="1B36EAF8">
        <w:trPr>
          <w:gridAfter w:val="2"/>
          <w:wAfter w:w="916" w:type="dxa"/>
        </w:trPr>
        <w:tc>
          <w:tcPr>
            <w:tcW w:w="2800" w:type="dxa"/>
            <w:tcBorders>
              <w:top w:val="nil"/>
              <w:left w:val="nil"/>
              <w:bottom w:val="nil"/>
              <w:right w:val="nil"/>
            </w:tcBorders>
            <w:tcMar>
              <w:top w:w="80" w:type="dxa"/>
              <w:left w:w="120" w:type="dxa"/>
              <w:bottom w:w="80" w:type="dxa"/>
              <w:right w:w="120" w:type="dxa"/>
            </w:tcMar>
            <w:vAlign w:val="center"/>
          </w:tcPr>
          <w:p w14:paraId="3D10BB9A">
            <w:pPr>
              <w:jc w:val="left"/>
            </w:pPr>
            <w:r>
              <w:rPr>
                <w:rFonts w:ascii="Times New Roman" w:eastAsia="宋体"/>
                <w:b/>
                <w:bCs/>
                <w:i w:val="0"/>
                <w:iCs w:val="0"/>
                <w:color w:val="000000"/>
                <w:sz w:val="18"/>
                <w:szCs w:val="18"/>
              </w:rPr>
              <w:t>控制变量</w:t>
            </w:r>
          </w:p>
        </w:tc>
        <w:tc>
          <w:tcPr>
            <w:tcW w:w="700" w:type="dxa"/>
            <w:tcBorders>
              <w:top w:val="nil"/>
              <w:left w:val="nil"/>
              <w:bottom w:val="nil"/>
              <w:right w:val="nil"/>
            </w:tcBorders>
            <w:tcMar>
              <w:top w:w="80" w:type="dxa"/>
              <w:left w:w="120" w:type="dxa"/>
              <w:bottom w:w="80" w:type="dxa"/>
              <w:right w:w="120" w:type="dxa"/>
            </w:tcMar>
            <w:vAlign w:val="center"/>
          </w:tcPr>
          <w:p w14:paraId="212AAF88">
            <w:pPr>
              <w:jc w:val="left"/>
            </w:pPr>
          </w:p>
        </w:tc>
        <w:tc>
          <w:tcPr>
            <w:tcW w:w="700" w:type="dxa"/>
            <w:tcBorders>
              <w:top w:val="nil"/>
              <w:left w:val="nil"/>
              <w:bottom w:val="nil"/>
              <w:right w:val="nil"/>
            </w:tcBorders>
            <w:tcMar>
              <w:top w:w="80" w:type="dxa"/>
              <w:left w:w="120" w:type="dxa"/>
              <w:bottom w:w="80" w:type="dxa"/>
              <w:right w:w="120" w:type="dxa"/>
            </w:tcMar>
            <w:vAlign w:val="center"/>
          </w:tcPr>
          <w:p w14:paraId="0300F993">
            <w:pPr>
              <w:jc w:val="left"/>
            </w:pPr>
          </w:p>
        </w:tc>
        <w:tc>
          <w:tcPr>
            <w:tcW w:w="700" w:type="dxa"/>
            <w:tcBorders>
              <w:top w:val="nil"/>
              <w:left w:val="nil"/>
              <w:bottom w:val="nil"/>
              <w:right w:val="nil"/>
            </w:tcBorders>
            <w:tcMar>
              <w:top w:w="80" w:type="dxa"/>
              <w:left w:w="120" w:type="dxa"/>
              <w:bottom w:w="80" w:type="dxa"/>
              <w:right w:w="120" w:type="dxa"/>
            </w:tcMar>
            <w:vAlign w:val="center"/>
          </w:tcPr>
          <w:p w14:paraId="17F59CD9">
            <w:pPr>
              <w:jc w:val="left"/>
            </w:pPr>
          </w:p>
        </w:tc>
        <w:tc>
          <w:tcPr>
            <w:tcW w:w="700" w:type="dxa"/>
            <w:tcBorders>
              <w:top w:val="nil"/>
              <w:left w:val="nil"/>
              <w:bottom w:val="nil"/>
              <w:right w:val="nil"/>
            </w:tcBorders>
            <w:tcMar>
              <w:top w:w="80" w:type="dxa"/>
              <w:left w:w="120" w:type="dxa"/>
              <w:bottom w:w="80" w:type="dxa"/>
              <w:right w:w="120" w:type="dxa"/>
            </w:tcMar>
            <w:vAlign w:val="center"/>
          </w:tcPr>
          <w:p w14:paraId="57C37F2C">
            <w:pPr>
              <w:jc w:val="left"/>
            </w:pPr>
          </w:p>
        </w:tc>
        <w:tc>
          <w:tcPr>
            <w:tcW w:w="700" w:type="dxa"/>
            <w:tcBorders>
              <w:top w:val="nil"/>
              <w:left w:val="nil"/>
              <w:bottom w:val="nil"/>
              <w:right w:val="nil"/>
            </w:tcBorders>
            <w:tcMar>
              <w:top w:w="80" w:type="dxa"/>
              <w:left w:w="120" w:type="dxa"/>
              <w:bottom w:w="80" w:type="dxa"/>
              <w:right w:w="120" w:type="dxa"/>
            </w:tcMar>
            <w:vAlign w:val="center"/>
          </w:tcPr>
          <w:p w14:paraId="0286A652">
            <w:pPr>
              <w:jc w:val="left"/>
            </w:pPr>
          </w:p>
        </w:tc>
        <w:tc>
          <w:tcPr>
            <w:tcW w:w="700" w:type="dxa"/>
            <w:tcBorders>
              <w:top w:val="nil"/>
              <w:left w:val="nil"/>
              <w:bottom w:val="nil"/>
              <w:right w:val="nil"/>
            </w:tcBorders>
            <w:tcMar>
              <w:top w:w="80" w:type="dxa"/>
              <w:left w:w="120" w:type="dxa"/>
              <w:bottom w:w="80" w:type="dxa"/>
              <w:right w:w="120" w:type="dxa"/>
            </w:tcMar>
            <w:vAlign w:val="center"/>
          </w:tcPr>
          <w:p w14:paraId="30A1A412">
            <w:pPr>
              <w:jc w:val="left"/>
            </w:pPr>
          </w:p>
        </w:tc>
        <w:tc>
          <w:tcPr>
            <w:tcW w:w="700" w:type="dxa"/>
            <w:tcBorders>
              <w:top w:val="nil"/>
              <w:left w:val="nil"/>
              <w:bottom w:val="nil"/>
              <w:right w:val="nil"/>
            </w:tcBorders>
            <w:tcMar>
              <w:top w:w="80" w:type="dxa"/>
              <w:left w:w="120" w:type="dxa"/>
              <w:bottom w:w="80" w:type="dxa"/>
              <w:right w:w="120" w:type="dxa"/>
            </w:tcMar>
            <w:vAlign w:val="center"/>
          </w:tcPr>
          <w:p w14:paraId="6BC41BC3">
            <w:pPr>
              <w:jc w:val="left"/>
            </w:pPr>
          </w:p>
        </w:tc>
        <w:tc>
          <w:tcPr>
            <w:tcW w:w="700" w:type="dxa"/>
            <w:tcBorders>
              <w:top w:val="nil"/>
              <w:left w:val="nil"/>
              <w:bottom w:val="nil"/>
              <w:right w:val="nil"/>
            </w:tcBorders>
            <w:tcMar>
              <w:top w:w="80" w:type="dxa"/>
              <w:left w:w="120" w:type="dxa"/>
              <w:bottom w:w="80" w:type="dxa"/>
              <w:right w:w="120" w:type="dxa"/>
            </w:tcMar>
            <w:vAlign w:val="center"/>
          </w:tcPr>
          <w:p w14:paraId="1C849320">
            <w:pPr>
              <w:jc w:val="left"/>
            </w:pPr>
          </w:p>
        </w:tc>
      </w:tr>
      <w:tr w14:paraId="1B61DDCF">
        <w:trPr>
          <w:gridAfter w:val="2"/>
          <w:wAfter w:w="916" w:type="dxa"/>
        </w:trPr>
        <w:tc>
          <w:tcPr>
            <w:tcW w:w="2800" w:type="dxa"/>
            <w:tcBorders>
              <w:top w:val="nil"/>
              <w:left w:val="nil"/>
              <w:bottom w:val="nil"/>
              <w:right w:val="nil"/>
            </w:tcBorders>
            <w:tcMar>
              <w:top w:w="80" w:type="dxa"/>
              <w:left w:w="120" w:type="dxa"/>
              <w:bottom w:w="80" w:type="dxa"/>
              <w:right w:w="120" w:type="dxa"/>
            </w:tcMar>
            <w:vAlign w:val="center"/>
          </w:tcPr>
          <w:p w14:paraId="39D86B65">
            <w:pPr>
              <w:jc w:val="left"/>
            </w:pPr>
            <w:r>
              <w:rPr>
                <w:rFonts w:ascii="Times New Roman" w:eastAsia="宋体"/>
                <w:b w:val="0"/>
                <w:bCs w:val="0"/>
                <w:i w:val="0"/>
                <w:iCs w:val="0"/>
                <w:color w:val="000000"/>
                <w:sz w:val="18"/>
                <w:szCs w:val="18"/>
              </w:rPr>
              <w:t>年龄</w:t>
            </w:r>
          </w:p>
        </w:tc>
        <w:tc>
          <w:tcPr>
            <w:tcW w:w="700" w:type="dxa"/>
            <w:tcBorders>
              <w:top w:val="nil"/>
              <w:left w:val="nil"/>
              <w:bottom w:val="nil"/>
              <w:right w:val="nil"/>
            </w:tcBorders>
            <w:tcMar>
              <w:top w:w="80" w:type="dxa"/>
              <w:left w:w="120" w:type="dxa"/>
              <w:bottom w:w="80" w:type="dxa"/>
              <w:right w:w="120" w:type="dxa"/>
            </w:tcMar>
            <w:vAlign w:val="center"/>
          </w:tcPr>
          <w:p w14:paraId="0DB610B4">
            <w:pPr>
              <w:jc w:val="center"/>
            </w:pPr>
            <w:r>
              <w:rPr>
                <w:rFonts w:ascii="Times New Roman" w:eastAsia="宋体"/>
                <w:b w:val="0"/>
                <w:bCs w:val="0"/>
                <w:i w:val="0"/>
                <w:iCs w:val="0"/>
                <w:color w:val="000000"/>
                <w:sz w:val="18"/>
                <w:szCs w:val="18"/>
              </w:rPr>
              <w:t>-0.012</w:t>
            </w:r>
          </w:p>
        </w:tc>
        <w:tc>
          <w:tcPr>
            <w:tcW w:w="700" w:type="dxa"/>
            <w:tcBorders>
              <w:top w:val="nil"/>
              <w:left w:val="nil"/>
              <w:bottom w:val="nil"/>
              <w:right w:val="nil"/>
            </w:tcBorders>
            <w:tcMar>
              <w:top w:w="80" w:type="dxa"/>
              <w:left w:w="120" w:type="dxa"/>
              <w:bottom w:w="80" w:type="dxa"/>
              <w:right w:w="120" w:type="dxa"/>
            </w:tcMar>
            <w:vAlign w:val="center"/>
          </w:tcPr>
          <w:p w14:paraId="1255DB88">
            <w:pPr>
              <w:jc w:val="center"/>
            </w:pPr>
            <w:r>
              <w:rPr>
                <w:rFonts w:ascii="Times New Roman" w:eastAsia="宋体"/>
                <w:b w:val="0"/>
                <w:bCs w:val="0"/>
                <w:i w:val="0"/>
                <w:iCs w:val="0"/>
                <w:color w:val="000000"/>
                <w:sz w:val="18"/>
                <w:szCs w:val="18"/>
              </w:rPr>
              <w:t>0.015</w:t>
            </w:r>
          </w:p>
        </w:tc>
        <w:tc>
          <w:tcPr>
            <w:tcW w:w="700" w:type="dxa"/>
            <w:tcBorders>
              <w:top w:val="nil"/>
              <w:left w:val="nil"/>
              <w:bottom w:val="nil"/>
              <w:right w:val="nil"/>
            </w:tcBorders>
            <w:tcMar>
              <w:top w:w="80" w:type="dxa"/>
              <w:left w:w="120" w:type="dxa"/>
              <w:bottom w:w="80" w:type="dxa"/>
              <w:right w:w="120" w:type="dxa"/>
            </w:tcMar>
            <w:vAlign w:val="center"/>
          </w:tcPr>
          <w:p w14:paraId="259D5CE8">
            <w:pPr>
              <w:jc w:val="center"/>
            </w:pPr>
            <w:r>
              <w:rPr>
                <w:rFonts w:ascii="Times New Roman" w:eastAsia="宋体"/>
                <w:b w:val="0"/>
                <w:bCs w:val="0"/>
                <w:i w:val="0"/>
                <w:iCs w:val="0"/>
                <w:color w:val="000000"/>
                <w:sz w:val="18"/>
                <w:szCs w:val="18"/>
              </w:rPr>
              <w:t>-0.031</w:t>
            </w:r>
          </w:p>
        </w:tc>
        <w:tc>
          <w:tcPr>
            <w:tcW w:w="700" w:type="dxa"/>
            <w:tcBorders>
              <w:top w:val="nil"/>
              <w:left w:val="nil"/>
              <w:bottom w:val="nil"/>
              <w:right w:val="nil"/>
            </w:tcBorders>
            <w:tcMar>
              <w:top w:w="80" w:type="dxa"/>
              <w:left w:w="120" w:type="dxa"/>
              <w:bottom w:w="80" w:type="dxa"/>
              <w:right w:w="120" w:type="dxa"/>
            </w:tcMar>
            <w:vAlign w:val="center"/>
          </w:tcPr>
          <w:p w14:paraId="1038F0F5">
            <w:pPr>
              <w:jc w:val="center"/>
            </w:pPr>
            <w:r>
              <w:rPr>
                <w:rFonts w:ascii="Times New Roman" w:eastAsia="宋体"/>
                <w:b w:val="0"/>
                <w:bCs w:val="0"/>
                <w:i w:val="0"/>
                <w:iCs w:val="0"/>
                <w:color w:val="000000"/>
                <w:sz w:val="18"/>
                <w:szCs w:val="18"/>
              </w:rPr>
              <w:t>0.415</w:t>
            </w:r>
          </w:p>
        </w:tc>
        <w:tc>
          <w:tcPr>
            <w:tcW w:w="700" w:type="dxa"/>
            <w:tcBorders>
              <w:top w:val="nil"/>
              <w:left w:val="nil"/>
              <w:bottom w:val="nil"/>
              <w:right w:val="nil"/>
            </w:tcBorders>
            <w:tcMar>
              <w:top w:w="80" w:type="dxa"/>
              <w:left w:w="120" w:type="dxa"/>
              <w:bottom w:w="80" w:type="dxa"/>
              <w:right w:w="120" w:type="dxa"/>
            </w:tcMar>
            <w:vAlign w:val="center"/>
          </w:tcPr>
          <w:p w14:paraId="1A324163">
            <w:pPr>
              <w:jc w:val="center"/>
            </w:pPr>
            <w:r>
              <w:rPr>
                <w:rFonts w:ascii="Times New Roman" w:eastAsia="宋体"/>
                <w:b w:val="0"/>
                <w:bCs w:val="0"/>
                <w:i w:val="0"/>
                <w:iCs w:val="0"/>
                <w:color w:val="000000"/>
                <w:sz w:val="18"/>
                <w:szCs w:val="18"/>
              </w:rPr>
              <w:t>-0.008</w:t>
            </w:r>
          </w:p>
        </w:tc>
        <w:tc>
          <w:tcPr>
            <w:tcW w:w="700" w:type="dxa"/>
            <w:tcBorders>
              <w:top w:val="nil"/>
              <w:left w:val="nil"/>
              <w:bottom w:val="nil"/>
              <w:right w:val="nil"/>
            </w:tcBorders>
            <w:tcMar>
              <w:top w:w="80" w:type="dxa"/>
              <w:left w:w="120" w:type="dxa"/>
              <w:bottom w:w="80" w:type="dxa"/>
              <w:right w:w="120" w:type="dxa"/>
            </w:tcMar>
            <w:vAlign w:val="center"/>
          </w:tcPr>
          <w:p w14:paraId="6DFE7844">
            <w:pPr>
              <w:jc w:val="center"/>
            </w:pPr>
            <w:r>
              <w:rPr>
                <w:rFonts w:ascii="Times New Roman" w:eastAsia="宋体"/>
                <w:b w:val="0"/>
                <w:bCs w:val="0"/>
                <w:i w:val="0"/>
                <w:iCs w:val="0"/>
                <w:color w:val="000000"/>
                <w:sz w:val="18"/>
                <w:szCs w:val="18"/>
              </w:rPr>
              <w:t>0.015</w:t>
            </w:r>
          </w:p>
        </w:tc>
        <w:tc>
          <w:tcPr>
            <w:tcW w:w="700" w:type="dxa"/>
            <w:tcBorders>
              <w:top w:val="nil"/>
              <w:left w:val="nil"/>
              <w:bottom w:val="nil"/>
              <w:right w:val="nil"/>
            </w:tcBorders>
            <w:tcMar>
              <w:top w:w="80" w:type="dxa"/>
              <w:left w:w="120" w:type="dxa"/>
              <w:bottom w:w="80" w:type="dxa"/>
              <w:right w:w="120" w:type="dxa"/>
            </w:tcMar>
            <w:vAlign w:val="center"/>
          </w:tcPr>
          <w:p w14:paraId="1C96E23D">
            <w:pPr>
              <w:jc w:val="center"/>
            </w:pPr>
            <w:r>
              <w:rPr>
                <w:rFonts w:ascii="Times New Roman" w:eastAsia="宋体"/>
                <w:b w:val="0"/>
                <w:bCs w:val="0"/>
                <w:i w:val="0"/>
                <w:iCs w:val="0"/>
                <w:color w:val="000000"/>
                <w:sz w:val="18"/>
                <w:szCs w:val="18"/>
              </w:rPr>
              <w:t>-0.021</w:t>
            </w:r>
          </w:p>
        </w:tc>
        <w:tc>
          <w:tcPr>
            <w:tcW w:w="700" w:type="dxa"/>
            <w:tcBorders>
              <w:top w:val="nil"/>
              <w:left w:val="nil"/>
              <w:bottom w:val="nil"/>
              <w:right w:val="nil"/>
            </w:tcBorders>
            <w:tcMar>
              <w:top w:w="80" w:type="dxa"/>
              <w:left w:w="120" w:type="dxa"/>
              <w:bottom w:w="80" w:type="dxa"/>
              <w:right w:w="120" w:type="dxa"/>
            </w:tcMar>
            <w:vAlign w:val="center"/>
          </w:tcPr>
          <w:p w14:paraId="58C37D9B">
            <w:pPr>
              <w:jc w:val="center"/>
            </w:pPr>
            <w:r>
              <w:rPr>
                <w:rFonts w:ascii="Times New Roman" w:eastAsia="宋体"/>
                <w:b w:val="0"/>
                <w:bCs w:val="0"/>
                <w:i w:val="0"/>
                <w:iCs w:val="0"/>
                <w:color w:val="000000"/>
                <w:sz w:val="18"/>
                <w:szCs w:val="18"/>
              </w:rPr>
              <w:t>0.601</w:t>
            </w:r>
          </w:p>
        </w:tc>
      </w:tr>
      <w:tr w14:paraId="3417417C">
        <w:trPr>
          <w:gridAfter w:val="2"/>
          <w:wAfter w:w="916" w:type="dxa"/>
        </w:trPr>
        <w:tc>
          <w:tcPr>
            <w:tcW w:w="2800" w:type="dxa"/>
            <w:tcBorders>
              <w:top w:val="nil"/>
              <w:left w:val="nil"/>
              <w:bottom w:val="nil"/>
              <w:right w:val="nil"/>
            </w:tcBorders>
            <w:tcMar>
              <w:top w:w="80" w:type="dxa"/>
              <w:left w:w="120" w:type="dxa"/>
              <w:bottom w:w="80" w:type="dxa"/>
              <w:right w:w="120" w:type="dxa"/>
            </w:tcMar>
            <w:vAlign w:val="center"/>
          </w:tcPr>
          <w:p w14:paraId="7958DD87">
            <w:pPr>
              <w:jc w:val="left"/>
            </w:pPr>
            <w:r>
              <w:rPr>
                <w:rFonts w:ascii="Times New Roman" w:eastAsia="宋体"/>
                <w:b w:val="0"/>
                <w:bCs w:val="0"/>
                <w:i w:val="0"/>
                <w:iCs w:val="0"/>
                <w:color w:val="000000"/>
                <w:sz w:val="18"/>
                <w:szCs w:val="18"/>
              </w:rPr>
              <w:t>性别</w:t>
            </w:r>
          </w:p>
        </w:tc>
        <w:tc>
          <w:tcPr>
            <w:tcW w:w="700" w:type="dxa"/>
            <w:tcBorders>
              <w:top w:val="nil"/>
              <w:left w:val="nil"/>
              <w:bottom w:val="nil"/>
              <w:right w:val="nil"/>
            </w:tcBorders>
            <w:tcMar>
              <w:top w:w="80" w:type="dxa"/>
              <w:left w:w="120" w:type="dxa"/>
              <w:bottom w:w="80" w:type="dxa"/>
              <w:right w:w="120" w:type="dxa"/>
            </w:tcMar>
            <w:vAlign w:val="center"/>
          </w:tcPr>
          <w:p w14:paraId="36C5BF90">
            <w:pPr>
              <w:jc w:val="center"/>
            </w:pPr>
            <w:r>
              <w:rPr>
                <w:rFonts w:ascii="Times New Roman" w:eastAsia="宋体"/>
                <w:b w:val="0"/>
                <w:bCs w:val="0"/>
                <w:i w:val="0"/>
                <w:iCs w:val="0"/>
                <w:color w:val="000000"/>
                <w:sz w:val="18"/>
                <w:szCs w:val="18"/>
              </w:rPr>
              <w:t>0.018</w:t>
            </w:r>
          </w:p>
        </w:tc>
        <w:tc>
          <w:tcPr>
            <w:tcW w:w="700" w:type="dxa"/>
            <w:tcBorders>
              <w:top w:val="nil"/>
              <w:left w:val="nil"/>
              <w:bottom w:val="nil"/>
              <w:right w:val="nil"/>
            </w:tcBorders>
            <w:tcMar>
              <w:top w:w="80" w:type="dxa"/>
              <w:left w:w="120" w:type="dxa"/>
              <w:bottom w:w="80" w:type="dxa"/>
              <w:right w:w="120" w:type="dxa"/>
            </w:tcMar>
            <w:vAlign w:val="center"/>
          </w:tcPr>
          <w:p w14:paraId="2619F891">
            <w:pPr>
              <w:jc w:val="center"/>
            </w:pPr>
            <w:r>
              <w:rPr>
                <w:rFonts w:ascii="Times New Roman" w:eastAsia="宋体"/>
                <w:b w:val="0"/>
                <w:bCs w:val="0"/>
                <w:i w:val="0"/>
                <w:iCs w:val="0"/>
                <w:color w:val="000000"/>
                <w:sz w:val="18"/>
                <w:szCs w:val="18"/>
              </w:rPr>
              <w:t>0.029</w:t>
            </w:r>
          </w:p>
        </w:tc>
        <w:tc>
          <w:tcPr>
            <w:tcW w:w="700" w:type="dxa"/>
            <w:tcBorders>
              <w:top w:val="nil"/>
              <w:left w:val="nil"/>
              <w:bottom w:val="nil"/>
              <w:right w:val="nil"/>
            </w:tcBorders>
            <w:tcMar>
              <w:top w:w="80" w:type="dxa"/>
              <w:left w:w="120" w:type="dxa"/>
              <w:bottom w:w="80" w:type="dxa"/>
              <w:right w:w="120" w:type="dxa"/>
            </w:tcMar>
            <w:vAlign w:val="center"/>
          </w:tcPr>
          <w:p w14:paraId="0FAE4DB3">
            <w:pPr>
              <w:jc w:val="center"/>
            </w:pPr>
            <w:r>
              <w:rPr>
                <w:rFonts w:ascii="Times New Roman" w:eastAsia="宋体"/>
                <w:b w:val="0"/>
                <w:bCs w:val="0"/>
                <w:i w:val="0"/>
                <w:iCs w:val="0"/>
                <w:color w:val="000000"/>
                <w:sz w:val="18"/>
                <w:szCs w:val="18"/>
              </w:rPr>
              <w:t>0.019</w:t>
            </w:r>
          </w:p>
        </w:tc>
        <w:tc>
          <w:tcPr>
            <w:tcW w:w="700" w:type="dxa"/>
            <w:tcBorders>
              <w:top w:val="nil"/>
              <w:left w:val="nil"/>
              <w:bottom w:val="nil"/>
              <w:right w:val="nil"/>
            </w:tcBorders>
            <w:tcMar>
              <w:top w:w="80" w:type="dxa"/>
              <w:left w:w="120" w:type="dxa"/>
              <w:bottom w:w="80" w:type="dxa"/>
              <w:right w:w="120" w:type="dxa"/>
            </w:tcMar>
            <w:vAlign w:val="center"/>
          </w:tcPr>
          <w:p w14:paraId="422EAD7E">
            <w:pPr>
              <w:jc w:val="center"/>
            </w:pPr>
            <w:r>
              <w:rPr>
                <w:rFonts w:ascii="Times New Roman" w:eastAsia="宋体"/>
                <w:b w:val="0"/>
                <w:bCs w:val="0"/>
                <w:i w:val="0"/>
                <w:iCs w:val="0"/>
                <w:color w:val="000000"/>
                <w:sz w:val="18"/>
                <w:szCs w:val="18"/>
              </w:rPr>
              <w:t>0.527</w:t>
            </w:r>
          </w:p>
        </w:tc>
        <w:tc>
          <w:tcPr>
            <w:tcW w:w="700" w:type="dxa"/>
            <w:tcBorders>
              <w:top w:val="nil"/>
              <w:left w:val="nil"/>
              <w:bottom w:val="nil"/>
              <w:right w:val="nil"/>
            </w:tcBorders>
            <w:tcMar>
              <w:top w:w="80" w:type="dxa"/>
              <w:left w:w="120" w:type="dxa"/>
              <w:bottom w:w="80" w:type="dxa"/>
              <w:right w:w="120" w:type="dxa"/>
            </w:tcMar>
            <w:vAlign w:val="center"/>
          </w:tcPr>
          <w:p w14:paraId="6F7CE253">
            <w:pPr>
              <w:jc w:val="center"/>
            </w:pPr>
            <w:r>
              <w:rPr>
                <w:rFonts w:ascii="Times New Roman" w:eastAsia="宋体"/>
                <w:b w:val="0"/>
                <w:bCs w:val="0"/>
                <w:i w:val="0"/>
                <w:iCs w:val="0"/>
                <w:color w:val="000000"/>
                <w:sz w:val="18"/>
                <w:szCs w:val="18"/>
              </w:rPr>
              <w:t>0.022</w:t>
            </w:r>
          </w:p>
        </w:tc>
        <w:tc>
          <w:tcPr>
            <w:tcW w:w="700" w:type="dxa"/>
            <w:tcBorders>
              <w:top w:val="nil"/>
              <w:left w:val="nil"/>
              <w:bottom w:val="nil"/>
              <w:right w:val="nil"/>
            </w:tcBorders>
            <w:tcMar>
              <w:top w:w="80" w:type="dxa"/>
              <w:left w:w="120" w:type="dxa"/>
              <w:bottom w:w="80" w:type="dxa"/>
              <w:right w:w="120" w:type="dxa"/>
            </w:tcMar>
            <w:vAlign w:val="center"/>
          </w:tcPr>
          <w:p w14:paraId="6EABC357">
            <w:pPr>
              <w:jc w:val="center"/>
            </w:pPr>
            <w:r>
              <w:rPr>
                <w:rFonts w:ascii="Times New Roman" w:eastAsia="宋体"/>
                <w:b w:val="0"/>
                <w:bCs w:val="0"/>
                <w:i w:val="0"/>
                <w:iCs w:val="0"/>
                <w:color w:val="000000"/>
                <w:sz w:val="18"/>
                <w:szCs w:val="18"/>
              </w:rPr>
              <w:t>0.032</w:t>
            </w:r>
          </w:p>
        </w:tc>
        <w:tc>
          <w:tcPr>
            <w:tcW w:w="700" w:type="dxa"/>
            <w:tcBorders>
              <w:top w:val="nil"/>
              <w:left w:val="nil"/>
              <w:bottom w:val="nil"/>
              <w:right w:val="nil"/>
            </w:tcBorders>
            <w:tcMar>
              <w:top w:w="80" w:type="dxa"/>
              <w:left w:w="120" w:type="dxa"/>
              <w:bottom w:w="80" w:type="dxa"/>
              <w:right w:w="120" w:type="dxa"/>
            </w:tcMar>
            <w:vAlign w:val="center"/>
          </w:tcPr>
          <w:p w14:paraId="4E28FFA3">
            <w:pPr>
              <w:jc w:val="center"/>
            </w:pPr>
            <w:r>
              <w:rPr>
                <w:rFonts w:ascii="Times New Roman" w:eastAsia="宋体"/>
                <w:b w:val="0"/>
                <w:bCs w:val="0"/>
                <w:i w:val="0"/>
                <w:iCs w:val="0"/>
                <w:color w:val="000000"/>
                <w:sz w:val="18"/>
                <w:szCs w:val="18"/>
              </w:rPr>
              <w:t>0.158</w:t>
            </w:r>
          </w:p>
        </w:tc>
        <w:tc>
          <w:tcPr>
            <w:tcW w:w="700" w:type="dxa"/>
            <w:tcBorders>
              <w:top w:val="nil"/>
              <w:left w:val="nil"/>
              <w:bottom w:val="nil"/>
              <w:right w:val="nil"/>
            </w:tcBorders>
            <w:tcMar>
              <w:top w:w="80" w:type="dxa"/>
              <w:left w:w="120" w:type="dxa"/>
              <w:bottom w:w="80" w:type="dxa"/>
              <w:right w:w="120" w:type="dxa"/>
            </w:tcMar>
            <w:vAlign w:val="center"/>
          </w:tcPr>
          <w:p w14:paraId="15D684C2">
            <w:pPr>
              <w:jc w:val="center"/>
            </w:pPr>
            <w:r>
              <w:rPr>
                <w:rFonts w:ascii="Times New Roman" w:eastAsia="宋体"/>
                <w:b w:val="0"/>
                <w:bCs w:val="0"/>
                <w:i w:val="0"/>
                <w:iCs w:val="0"/>
                <w:color w:val="000000"/>
                <w:sz w:val="18"/>
                <w:szCs w:val="18"/>
              </w:rPr>
              <w:t>&lt;0.001</w:t>
            </w:r>
          </w:p>
        </w:tc>
      </w:tr>
      <w:tr w14:paraId="70F7E576">
        <w:trPr>
          <w:gridAfter w:val="2"/>
          <w:wAfter w:w="916" w:type="dxa"/>
        </w:trPr>
        <w:tc>
          <w:tcPr>
            <w:tcW w:w="2800" w:type="dxa"/>
            <w:tcBorders>
              <w:top w:val="nil"/>
              <w:left w:val="nil"/>
              <w:bottom w:val="nil"/>
              <w:right w:val="nil"/>
            </w:tcBorders>
            <w:tcMar>
              <w:top w:w="80" w:type="dxa"/>
              <w:left w:w="120" w:type="dxa"/>
              <w:bottom w:w="80" w:type="dxa"/>
              <w:right w:w="120" w:type="dxa"/>
            </w:tcMar>
            <w:vAlign w:val="center"/>
          </w:tcPr>
          <w:p w14:paraId="08F9B46D">
            <w:pPr>
              <w:jc w:val="left"/>
            </w:pPr>
            <w:r>
              <w:rPr>
                <w:rFonts w:ascii="Times New Roman" w:eastAsia="宋体"/>
                <w:b w:val="0"/>
                <w:bCs w:val="0"/>
                <w:i w:val="0"/>
                <w:iCs w:val="0"/>
                <w:color w:val="000000"/>
                <w:sz w:val="18"/>
                <w:szCs w:val="18"/>
              </w:rPr>
              <w:t>教育程度</w:t>
            </w:r>
          </w:p>
        </w:tc>
        <w:tc>
          <w:tcPr>
            <w:tcW w:w="700" w:type="dxa"/>
            <w:tcBorders>
              <w:top w:val="nil"/>
              <w:left w:val="nil"/>
              <w:bottom w:val="nil"/>
              <w:right w:val="nil"/>
            </w:tcBorders>
            <w:tcMar>
              <w:top w:w="80" w:type="dxa"/>
              <w:left w:w="120" w:type="dxa"/>
              <w:bottom w:w="80" w:type="dxa"/>
              <w:right w:w="120" w:type="dxa"/>
            </w:tcMar>
            <w:vAlign w:val="center"/>
          </w:tcPr>
          <w:p w14:paraId="4B47B075">
            <w:pPr>
              <w:jc w:val="center"/>
            </w:pPr>
            <w:r>
              <w:rPr>
                <w:rFonts w:ascii="Times New Roman" w:eastAsia="宋体"/>
                <w:b w:val="0"/>
                <w:bCs w:val="0"/>
                <w:i w:val="0"/>
                <w:iCs w:val="0"/>
                <w:color w:val="000000"/>
                <w:sz w:val="18"/>
                <w:szCs w:val="18"/>
              </w:rPr>
              <w:t>0.021</w:t>
            </w:r>
          </w:p>
        </w:tc>
        <w:tc>
          <w:tcPr>
            <w:tcW w:w="700" w:type="dxa"/>
            <w:tcBorders>
              <w:top w:val="nil"/>
              <w:left w:val="nil"/>
              <w:bottom w:val="nil"/>
              <w:right w:val="nil"/>
            </w:tcBorders>
            <w:tcMar>
              <w:top w:w="80" w:type="dxa"/>
              <w:left w:w="120" w:type="dxa"/>
              <w:bottom w:w="80" w:type="dxa"/>
              <w:right w:w="120" w:type="dxa"/>
            </w:tcMar>
            <w:vAlign w:val="center"/>
          </w:tcPr>
          <w:p w14:paraId="55757BB8">
            <w:pPr>
              <w:jc w:val="center"/>
            </w:pPr>
            <w:r>
              <w:rPr>
                <w:rFonts w:ascii="Times New Roman" w:eastAsia="宋体"/>
                <w:b w:val="0"/>
                <w:bCs w:val="0"/>
                <w:i w:val="0"/>
                <w:iCs w:val="0"/>
                <w:color w:val="000000"/>
                <w:sz w:val="18"/>
                <w:szCs w:val="18"/>
              </w:rPr>
              <w:t>0.019</w:t>
            </w:r>
          </w:p>
        </w:tc>
        <w:tc>
          <w:tcPr>
            <w:tcW w:w="700" w:type="dxa"/>
            <w:tcBorders>
              <w:top w:val="nil"/>
              <w:left w:val="nil"/>
              <w:bottom w:val="nil"/>
              <w:right w:val="nil"/>
            </w:tcBorders>
            <w:tcMar>
              <w:top w:w="80" w:type="dxa"/>
              <w:left w:w="120" w:type="dxa"/>
              <w:bottom w:w="80" w:type="dxa"/>
              <w:right w:w="120" w:type="dxa"/>
            </w:tcMar>
            <w:vAlign w:val="center"/>
          </w:tcPr>
          <w:p w14:paraId="516A18F8">
            <w:pPr>
              <w:jc w:val="center"/>
            </w:pPr>
            <w:r>
              <w:rPr>
                <w:rFonts w:ascii="Times New Roman" w:eastAsia="宋体"/>
                <w:b w:val="0"/>
                <w:bCs w:val="0"/>
                <w:i w:val="0"/>
                <w:iCs w:val="0"/>
                <w:color w:val="000000"/>
                <w:sz w:val="18"/>
                <w:szCs w:val="18"/>
              </w:rPr>
              <w:t>0.042</w:t>
            </w:r>
          </w:p>
        </w:tc>
        <w:tc>
          <w:tcPr>
            <w:tcW w:w="700" w:type="dxa"/>
            <w:tcBorders>
              <w:top w:val="nil"/>
              <w:left w:val="nil"/>
              <w:bottom w:val="nil"/>
              <w:right w:val="nil"/>
            </w:tcBorders>
            <w:tcMar>
              <w:top w:w="80" w:type="dxa"/>
              <w:left w:w="120" w:type="dxa"/>
              <w:bottom w:w="80" w:type="dxa"/>
              <w:right w:w="120" w:type="dxa"/>
            </w:tcMar>
            <w:vAlign w:val="center"/>
          </w:tcPr>
          <w:p w14:paraId="46B00504">
            <w:pPr>
              <w:jc w:val="center"/>
            </w:pPr>
            <w:r>
              <w:rPr>
                <w:rFonts w:ascii="Times New Roman" w:eastAsia="宋体"/>
                <w:b w:val="0"/>
                <w:bCs w:val="0"/>
                <w:i w:val="0"/>
                <w:iCs w:val="0"/>
                <w:color w:val="000000"/>
                <w:sz w:val="18"/>
                <w:szCs w:val="18"/>
              </w:rPr>
              <w:t>0.267</w:t>
            </w:r>
          </w:p>
        </w:tc>
        <w:tc>
          <w:tcPr>
            <w:tcW w:w="700" w:type="dxa"/>
            <w:tcBorders>
              <w:top w:val="nil"/>
              <w:left w:val="nil"/>
              <w:bottom w:val="nil"/>
              <w:right w:val="nil"/>
            </w:tcBorders>
            <w:tcMar>
              <w:top w:w="80" w:type="dxa"/>
              <w:left w:w="120" w:type="dxa"/>
              <w:bottom w:w="80" w:type="dxa"/>
              <w:right w:w="120" w:type="dxa"/>
            </w:tcMar>
            <w:vAlign w:val="center"/>
          </w:tcPr>
          <w:p w14:paraId="0353A7E7">
            <w:pPr>
              <w:jc w:val="center"/>
            </w:pPr>
            <w:r>
              <w:rPr>
                <w:rFonts w:ascii="Times New Roman" w:eastAsia="宋体"/>
                <w:b w:val="0"/>
                <w:bCs w:val="0"/>
                <w:i w:val="0"/>
                <w:iCs w:val="0"/>
                <w:color w:val="000000"/>
                <w:sz w:val="18"/>
                <w:szCs w:val="18"/>
              </w:rPr>
              <w:t>0.019</w:t>
            </w:r>
          </w:p>
        </w:tc>
        <w:tc>
          <w:tcPr>
            <w:tcW w:w="700" w:type="dxa"/>
            <w:tcBorders>
              <w:top w:val="nil"/>
              <w:left w:val="nil"/>
              <w:bottom w:val="nil"/>
              <w:right w:val="nil"/>
            </w:tcBorders>
            <w:tcMar>
              <w:top w:w="80" w:type="dxa"/>
              <w:left w:w="120" w:type="dxa"/>
              <w:bottom w:w="80" w:type="dxa"/>
              <w:right w:w="120" w:type="dxa"/>
            </w:tcMar>
            <w:vAlign w:val="center"/>
          </w:tcPr>
          <w:p w14:paraId="1ED2B074">
            <w:pPr>
              <w:jc w:val="center"/>
            </w:pPr>
            <w:r>
              <w:rPr>
                <w:rFonts w:ascii="Times New Roman" w:eastAsia="宋体"/>
                <w:b w:val="0"/>
                <w:bCs w:val="0"/>
                <w:i w:val="0"/>
                <w:iCs w:val="0"/>
                <w:color w:val="000000"/>
                <w:sz w:val="18"/>
                <w:szCs w:val="18"/>
              </w:rPr>
              <w:t>0.021</w:t>
            </w:r>
          </w:p>
        </w:tc>
        <w:tc>
          <w:tcPr>
            <w:tcW w:w="700" w:type="dxa"/>
            <w:tcBorders>
              <w:top w:val="nil"/>
              <w:left w:val="nil"/>
              <w:bottom w:val="nil"/>
              <w:right w:val="nil"/>
            </w:tcBorders>
            <w:tcMar>
              <w:top w:w="80" w:type="dxa"/>
              <w:left w:w="120" w:type="dxa"/>
              <w:bottom w:w="80" w:type="dxa"/>
              <w:right w:w="120" w:type="dxa"/>
            </w:tcMar>
            <w:vAlign w:val="center"/>
          </w:tcPr>
          <w:p w14:paraId="6D4F2D1B">
            <w:pPr>
              <w:jc w:val="center"/>
            </w:pPr>
            <w:r>
              <w:rPr>
                <w:rFonts w:ascii="Times New Roman" w:eastAsia="宋体"/>
                <w:b w:val="0"/>
                <w:bCs w:val="0"/>
                <w:i w:val="0"/>
                <w:iCs w:val="0"/>
                <w:color w:val="000000"/>
                <w:sz w:val="18"/>
                <w:szCs w:val="18"/>
              </w:rPr>
              <w:t>0.038</w:t>
            </w:r>
          </w:p>
        </w:tc>
        <w:tc>
          <w:tcPr>
            <w:tcW w:w="700" w:type="dxa"/>
            <w:tcBorders>
              <w:top w:val="nil"/>
              <w:left w:val="nil"/>
              <w:bottom w:val="nil"/>
              <w:right w:val="nil"/>
            </w:tcBorders>
            <w:tcMar>
              <w:top w:w="80" w:type="dxa"/>
              <w:left w:w="120" w:type="dxa"/>
              <w:bottom w:w="80" w:type="dxa"/>
              <w:right w:w="120" w:type="dxa"/>
            </w:tcMar>
            <w:vAlign w:val="center"/>
          </w:tcPr>
          <w:p w14:paraId="7C659D18">
            <w:pPr>
              <w:jc w:val="center"/>
            </w:pPr>
            <w:r>
              <w:rPr>
                <w:rFonts w:ascii="Times New Roman" w:eastAsia="宋体"/>
                <w:b w:val="0"/>
                <w:bCs w:val="0"/>
                <w:i w:val="0"/>
                <w:iCs w:val="0"/>
                <w:color w:val="000000"/>
                <w:sz w:val="18"/>
                <w:szCs w:val="18"/>
              </w:rPr>
              <w:t>0.364</w:t>
            </w:r>
          </w:p>
        </w:tc>
      </w:tr>
      <w:tr w14:paraId="455DDFC4">
        <w:trPr>
          <w:gridAfter w:val="2"/>
          <w:wAfter w:w="916" w:type="dxa"/>
        </w:trPr>
        <w:tc>
          <w:tcPr>
            <w:tcW w:w="2800" w:type="dxa"/>
            <w:tcBorders>
              <w:top w:val="nil"/>
              <w:left w:val="nil"/>
              <w:bottom w:val="nil"/>
              <w:right w:val="nil"/>
            </w:tcBorders>
            <w:tcMar>
              <w:top w:w="80" w:type="dxa"/>
              <w:left w:w="120" w:type="dxa"/>
              <w:bottom w:w="80" w:type="dxa"/>
              <w:right w:w="120" w:type="dxa"/>
            </w:tcMar>
            <w:vAlign w:val="center"/>
          </w:tcPr>
          <w:p w14:paraId="71AF2ECC">
            <w:pPr>
              <w:jc w:val="left"/>
            </w:pPr>
            <w:r>
              <w:rPr>
                <w:rFonts w:ascii="Times New Roman" w:eastAsia="宋体"/>
                <w:b w:val="0"/>
                <w:bCs w:val="0"/>
                <w:i w:val="0"/>
                <w:iCs w:val="0"/>
                <w:color w:val="000000"/>
                <w:sz w:val="18"/>
                <w:szCs w:val="18"/>
              </w:rPr>
              <w:t>政治兴趣</w:t>
            </w:r>
          </w:p>
        </w:tc>
        <w:tc>
          <w:tcPr>
            <w:tcW w:w="700" w:type="dxa"/>
            <w:tcBorders>
              <w:top w:val="nil"/>
              <w:left w:val="nil"/>
              <w:bottom w:val="nil"/>
              <w:right w:val="nil"/>
            </w:tcBorders>
            <w:tcMar>
              <w:top w:w="80" w:type="dxa"/>
              <w:left w:w="120" w:type="dxa"/>
              <w:bottom w:w="80" w:type="dxa"/>
              <w:right w:w="120" w:type="dxa"/>
            </w:tcMar>
            <w:vAlign w:val="center"/>
          </w:tcPr>
          <w:p w14:paraId="641D47FA">
            <w:pPr>
              <w:jc w:val="center"/>
            </w:pPr>
            <w:r>
              <w:rPr>
                <w:rFonts w:ascii="Times New Roman" w:eastAsia="宋体"/>
                <w:b w:val="0"/>
                <w:bCs w:val="0"/>
                <w:i w:val="0"/>
                <w:iCs w:val="0"/>
                <w:color w:val="000000"/>
                <w:sz w:val="18"/>
                <w:szCs w:val="18"/>
              </w:rPr>
              <w:t>0.033</w:t>
            </w:r>
          </w:p>
        </w:tc>
        <w:tc>
          <w:tcPr>
            <w:tcW w:w="700" w:type="dxa"/>
            <w:tcBorders>
              <w:top w:val="nil"/>
              <w:left w:val="nil"/>
              <w:bottom w:val="nil"/>
              <w:right w:val="nil"/>
            </w:tcBorders>
            <w:tcMar>
              <w:top w:w="80" w:type="dxa"/>
              <w:left w:w="120" w:type="dxa"/>
              <w:bottom w:w="80" w:type="dxa"/>
              <w:right w:w="120" w:type="dxa"/>
            </w:tcMar>
            <w:vAlign w:val="center"/>
          </w:tcPr>
          <w:p w14:paraId="35604471">
            <w:pPr>
              <w:jc w:val="center"/>
              <w:rPr>
                <w:rFonts w:hint="default" w:eastAsia="宋体"/>
                <w:lang w:val="en-US" w:eastAsia="zh-CN"/>
              </w:rPr>
            </w:pPr>
            <w:r>
              <w:rPr>
                <w:rFonts w:ascii="Times New Roman" w:eastAsia="宋体"/>
                <w:b w:val="0"/>
                <w:bCs w:val="0"/>
                <w:i w:val="0"/>
                <w:iCs w:val="0"/>
                <w:color w:val="000000"/>
                <w:sz w:val="18"/>
                <w:szCs w:val="18"/>
              </w:rPr>
              <w:t>0.0</w:t>
            </w:r>
            <w:r>
              <w:rPr>
                <w:rFonts w:hint="eastAsia"/>
                <w:b w:val="0"/>
                <w:bCs w:val="0"/>
                <w:i w:val="0"/>
                <w:iCs w:val="0"/>
                <w:color w:val="000000"/>
                <w:sz w:val="18"/>
                <w:szCs w:val="18"/>
                <w:lang w:val="en-US" w:eastAsia="zh-CN"/>
              </w:rPr>
              <w:t>19</w:t>
            </w:r>
          </w:p>
        </w:tc>
        <w:tc>
          <w:tcPr>
            <w:tcW w:w="700" w:type="dxa"/>
            <w:tcBorders>
              <w:top w:val="nil"/>
              <w:left w:val="nil"/>
              <w:bottom w:val="nil"/>
              <w:right w:val="nil"/>
            </w:tcBorders>
            <w:tcMar>
              <w:top w:w="80" w:type="dxa"/>
              <w:left w:w="120" w:type="dxa"/>
              <w:bottom w:w="80" w:type="dxa"/>
              <w:right w:w="120" w:type="dxa"/>
            </w:tcMar>
            <w:vAlign w:val="center"/>
          </w:tcPr>
          <w:p w14:paraId="1595B34E">
            <w:pPr>
              <w:jc w:val="center"/>
            </w:pPr>
            <w:r>
              <w:rPr>
                <w:rFonts w:ascii="Times New Roman" w:eastAsia="宋体"/>
                <w:b w:val="0"/>
                <w:bCs w:val="0"/>
                <w:i w:val="0"/>
                <w:iCs w:val="0"/>
                <w:color w:val="000000"/>
                <w:sz w:val="18"/>
                <w:szCs w:val="18"/>
              </w:rPr>
              <w:t>0.059</w:t>
            </w:r>
          </w:p>
        </w:tc>
        <w:tc>
          <w:tcPr>
            <w:tcW w:w="700" w:type="dxa"/>
            <w:tcBorders>
              <w:top w:val="nil"/>
              <w:left w:val="nil"/>
              <w:bottom w:val="nil"/>
              <w:right w:val="nil"/>
            </w:tcBorders>
            <w:tcMar>
              <w:top w:w="80" w:type="dxa"/>
              <w:left w:w="120" w:type="dxa"/>
              <w:bottom w:w="80" w:type="dxa"/>
              <w:right w:w="120" w:type="dxa"/>
            </w:tcMar>
            <w:vAlign w:val="center"/>
          </w:tcPr>
          <w:p w14:paraId="270C4F06">
            <w:pPr>
              <w:jc w:val="center"/>
            </w:pPr>
            <w:r>
              <w:rPr>
                <w:rFonts w:ascii="Times New Roman" w:eastAsia="宋体"/>
                <w:b w:val="0"/>
                <w:bCs w:val="0"/>
                <w:i w:val="0"/>
                <w:iCs w:val="0"/>
                <w:color w:val="000000"/>
                <w:sz w:val="18"/>
                <w:szCs w:val="18"/>
              </w:rPr>
              <w:t>0.131</w:t>
            </w:r>
          </w:p>
        </w:tc>
        <w:tc>
          <w:tcPr>
            <w:tcW w:w="700" w:type="dxa"/>
            <w:tcBorders>
              <w:top w:val="nil"/>
              <w:left w:val="nil"/>
              <w:bottom w:val="nil"/>
              <w:right w:val="nil"/>
            </w:tcBorders>
            <w:tcMar>
              <w:top w:w="80" w:type="dxa"/>
              <w:left w:w="120" w:type="dxa"/>
              <w:bottom w:w="80" w:type="dxa"/>
              <w:right w:w="120" w:type="dxa"/>
            </w:tcMar>
            <w:vAlign w:val="center"/>
          </w:tcPr>
          <w:p w14:paraId="2AA26DB8">
            <w:pPr>
              <w:jc w:val="center"/>
              <w:rPr>
                <w:rFonts w:hint="default" w:eastAsia="宋体"/>
                <w:lang w:val="en-US" w:eastAsia="zh-CN"/>
              </w:rPr>
            </w:pPr>
            <w:r>
              <w:rPr>
                <w:rFonts w:ascii="Times New Roman" w:eastAsia="宋体"/>
                <w:b w:val="0"/>
                <w:bCs w:val="0"/>
                <w:i w:val="0"/>
                <w:iCs w:val="0"/>
                <w:color w:val="000000"/>
                <w:sz w:val="18"/>
                <w:szCs w:val="18"/>
              </w:rPr>
              <w:t>0.</w:t>
            </w:r>
            <w:r>
              <w:rPr>
                <w:rFonts w:hint="eastAsia"/>
                <w:b w:val="0"/>
                <w:bCs w:val="0"/>
                <w:i w:val="0"/>
                <w:iCs w:val="0"/>
                <w:color w:val="000000"/>
                <w:sz w:val="18"/>
                <w:szCs w:val="18"/>
                <w:lang w:val="en-US" w:eastAsia="zh-CN"/>
              </w:rPr>
              <w:t>134</w:t>
            </w:r>
          </w:p>
        </w:tc>
        <w:tc>
          <w:tcPr>
            <w:tcW w:w="700" w:type="dxa"/>
            <w:tcBorders>
              <w:top w:val="nil"/>
              <w:left w:val="nil"/>
              <w:bottom w:val="nil"/>
              <w:right w:val="nil"/>
            </w:tcBorders>
            <w:tcMar>
              <w:top w:w="80" w:type="dxa"/>
              <w:left w:w="120" w:type="dxa"/>
              <w:bottom w:w="80" w:type="dxa"/>
              <w:right w:w="120" w:type="dxa"/>
            </w:tcMar>
            <w:vAlign w:val="center"/>
          </w:tcPr>
          <w:p w14:paraId="0136560F">
            <w:pPr>
              <w:jc w:val="center"/>
            </w:pPr>
            <w:r>
              <w:rPr>
                <w:rFonts w:ascii="Times New Roman" w:eastAsia="宋体"/>
                <w:b w:val="0"/>
                <w:bCs w:val="0"/>
                <w:i w:val="0"/>
                <w:iCs w:val="0"/>
                <w:color w:val="000000"/>
                <w:sz w:val="18"/>
                <w:szCs w:val="18"/>
              </w:rPr>
              <w:t>0.024</w:t>
            </w:r>
          </w:p>
        </w:tc>
        <w:tc>
          <w:tcPr>
            <w:tcW w:w="700" w:type="dxa"/>
            <w:tcBorders>
              <w:top w:val="nil"/>
              <w:left w:val="nil"/>
              <w:bottom w:val="nil"/>
              <w:right w:val="nil"/>
            </w:tcBorders>
            <w:tcMar>
              <w:top w:w="80" w:type="dxa"/>
              <w:left w:w="120" w:type="dxa"/>
              <w:bottom w:w="80" w:type="dxa"/>
              <w:right w:w="120" w:type="dxa"/>
            </w:tcMar>
            <w:vAlign w:val="center"/>
          </w:tcPr>
          <w:p w14:paraId="4678DF15">
            <w:pPr>
              <w:jc w:val="center"/>
              <w:rPr>
                <w:rFonts w:hint="default" w:eastAsia="宋体"/>
                <w:lang w:val="en-US" w:eastAsia="zh-CN"/>
              </w:rPr>
            </w:pPr>
            <w:r>
              <w:rPr>
                <w:rFonts w:ascii="Times New Roman" w:eastAsia="宋体"/>
                <w:b w:val="0"/>
                <w:bCs w:val="0"/>
                <w:i w:val="0"/>
                <w:iCs w:val="0"/>
                <w:color w:val="000000"/>
                <w:sz w:val="18"/>
                <w:szCs w:val="18"/>
              </w:rPr>
              <w:t>0.</w:t>
            </w:r>
            <w:r>
              <w:rPr>
                <w:rFonts w:hint="eastAsia"/>
                <w:b w:val="0"/>
                <w:bCs w:val="0"/>
                <w:i w:val="0"/>
                <w:iCs w:val="0"/>
                <w:color w:val="000000"/>
                <w:sz w:val="18"/>
                <w:szCs w:val="18"/>
                <w:lang w:val="en-US" w:eastAsia="zh-CN"/>
              </w:rPr>
              <w:t>247</w:t>
            </w:r>
          </w:p>
        </w:tc>
        <w:tc>
          <w:tcPr>
            <w:tcW w:w="700" w:type="dxa"/>
            <w:tcBorders>
              <w:top w:val="nil"/>
              <w:left w:val="nil"/>
              <w:bottom w:val="nil"/>
              <w:right w:val="nil"/>
            </w:tcBorders>
            <w:tcMar>
              <w:top w:w="80" w:type="dxa"/>
              <w:left w:w="120" w:type="dxa"/>
              <w:bottom w:w="80" w:type="dxa"/>
              <w:right w:w="120" w:type="dxa"/>
            </w:tcMar>
            <w:vAlign w:val="center"/>
          </w:tcPr>
          <w:p w14:paraId="3BFD0B42">
            <w:pPr>
              <w:jc w:val="center"/>
            </w:pPr>
            <w:r>
              <w:rPr>
                <w:rFonts w:ascii="Times New Roman" w:eastAsia="宋体"/>
                <w:b w:val="0"/>
                <w:bCs w:val="0"/>
                <w:i w:val="0"/>
                <w:iCs w:val="0"/>
                <w:color w:val="000000"/>
                <w:sz w:val="18"/>
                <w:szCs w:val="18"/>
              </w:rPr>
              <w:t>&lt;0.001</w:t>
            </w:r>
          </w:p>
        </w:tc>
      </w:tr>
      <w:tr w14:paraId="7463EDB2">
        <w:tc>
          <w:tcPr>
            <w:tcW w:w="2800" w:type="dxa"/>
            <w:tcBorders>
              <w:top w:val="nil"/>
              <w:left w:val="nil"/>
              <w:bottom w:val="single" w:color="000000" w:sz="0" w:space="0"/>
              <w:right w:val="nil"/>
            </w:tcBorders>
            <w:tcMar>
              <w:top w:w="80" w:type="dxa"/>
              <w:left w:w="120" w:type="dxa"/>
              <w:bottom w:w="80" w:type="dxa"/>
              <w:right w:w="120" w:type="dxa"/>
            </w:tcMar>
            <w:vAlign w:val="center"/>
          </w:tcPr>
          <w:p w14:paraId="716BC05A">
            <w:pPr>
              <w:jc w:val="left"/>
            </w:pPr>
            <w:r>
              <w:rPr>
                <w:rFonts w:ascii="Times New Roman" w:eastAsia="宋体"/>
                <w:b w:val="0"/>
                <w:bCs w:val="0"/>
                <w:i w:val="0"/>
                <w:iCs w:val="0"/>
                <w:color w:val="000000"/>
                <w:sz w:val="18"/>
                <w:szCs w:val="18"/>
              </w:rPr>
              <w:t>R²</w:t>
            </w:r>
          </w:p>
        </w:tc>
        <w:tc>
          <w:tcPr>
            <w:tcW w:w="700" w:type="dxa"/>
            <w:gridSpan w:val="4"/>
            <w:tcBorders>
              <w:top w:val="nil"/>
              <w:left w:val="nil"/>
              <w:bottom w:val="single" w:color="000000" w:sz="0" w:space="0"/>
              <w:right w:val="nil"/>
            </w:tcBorders>
            <w:tcMar>
              <w:top w:w="80" w:type="dxa"/>
              <w:left w:w="120" w:type="dxa"/>
              <w:bottom w:w="80" w:type="dxa"/>
              <w:right w:w="120" w:type="dxa"/>
            </w:tcMar>
            <w:vAlign w:val="center"/>
          </w:tcPr>
          <w:p w14:paraId="73A3F674">
            <w:pPr>
              <w:jc w:val="center"/>
            </w:pPr>
            <w:r>
              <w:rPr>
                <w:rFonts w:ascii="Times New Roman" w:eastAsia="宋体"/>
                <w:b w:val="0"/>
                <w:bCs w:val="0"/>
                <w:i w:val="0"/>
                <w:iCs w:val="0"/>
                <w:color w:val="000000"/>
                <w:sz w:val="18"/>
                <w:szCs w:val="18"/>
              </w:rPr>
              <w:t>0.291</w:t>
            </w:r>
          </w:p>
        </w:tc>
        <w:tc>
          <w:tcPr>
            <w:tcW w:w="700" w:type="dxa"/>
            <w:tcBorders>
              <w:top w:val="nil"/>
              <w:left w:val="nil"/>
              <w:bottom w:val="single" w:color="000000" w:sz="0" w:space="0"/>
              <w:right w:val="nil"/>
            </w:tcBorders>
            <w:tcMar>
              <w:top w:w="80" w:type="dxa"/>
              <w:left w:w="120" w:type="dxa"/>
              <w:bottom w:w="80" w:type="dxa"/>
              <w:right w:w="120" w:type="dxa"/>
            </w:tcMar>
            <w:vAlign w:val="center"/>
          </w:tcPr>
          <w:p w14:paraId="47C77FDD">
            <w:pPr>
              <w:jc w:val="left"/>
            </w:pPr>
          </w:p>
        </w:tc>
        <w:tc>
          <w:tcPr>
            <w:tcW w:w="700" w:type="dxa"/>
            <w:tcBorders>
              <w:top w:val="nil"/>
              <w:left w:val="nil"/>
              <w:bottom w:val="single" w:color="000000" w:sz="0" w:space="0"/>
              <w:right w:val="nil"/>
            </w:tcBorders>
            <w:tcMar>
              <w:top w:w="80" w:type="dxa"/>
              <w:left w:w="120" w:type="dxa"/>
              <w:bottom w:w="80" w:type="dxa"/>
              <w:right w:w="120" w:type="dxa"/>
            </w:tcMar>
            <w:vAlign w:val="center"/>
          </w:tcPr>
          <w:p w14:paraId="041DD050">
            <w:pPr>
              <w:jc w:val="left"/>
            </w:pPr>
          </w:p>
        </w:tc>
        <w:tc>
          <w:tcPr>
            <w:tcW w:w="700" w:type="dxa"/>
            <w:gridSpan w:val="2"/>
            <w:tcBorders>
              <w:top w:val="nil"/>
              <w:left w:val="nil"/>
              <w:bottom w:val="single" w:color="000000" w:sz="0" w:space="0"/>
              <w:right w:val="nil"/>
            </w:tcBorders>
            <w:tcMar>
              <w:top w:w="80" w:type="dxa"/>
              <w:left w:w="120" w:type="dxa"/>
              <w:bottom w:w="80" w:type="dxa"/>
              <w:right w:w="120" w:type="dxa"/>
            </w:tcMar>
            <w:vAlign w:val="center"/>
          </w:tcPr>
          <w:p w14:paraId="31B7E61A">
            <w:pPr>
              <w:jc w:val="center"/>
            </w:pPr>
            <w:r>
              <w:rPr>
                <w:rFonts w:ascii="Times New Roman" w:eastAsia="宋体"/>
                <w:b w:val="0"/>
                <w:bCs w:val="0"/>
                <w:i w:val="0"/>
                <w:iCs w:val="0"/>
                <w:color w:val="000000"/>
                <w:sz w:val="18"/>
                <w:szCs w:val="18"/>
              </w:rPr>
              <w:t>0.117</w:t>
            </w:r>
          </w:p>
        </w:tc>
        <w:tc>
          <w:tcPr>
            <w:tcW w:w="700" w:type="dxa"/>
            <w:tcBorders>
              <w:top w:val="nil"/>
              <w:left w:val="nil"/>
              <w:bottom w:val="single" w:color="000000" w:sz="0" w:space="0"/>
              <w:right w:val="nil"/>
            </w:tcBorders>
            <w:tcMar>
              <w:top w:w="80" w:type="dxa"/>
              <w:left w:w="120" w:type="dxa"/>
              <w:bottom w:w="80" w:type="dxa"/>
              <w:right w:w="120" w:type="dxa"/>
            </w:tcMar>
            <w:vAlign w:val="center"/>
          </w:tcPr>
          <w:p w14:paraId="194F72F5">
            <w:pPr>
              <w:jc w:val="left"/>
            </w:pPr>
          </w:p>
        </w:tc>
        <w:tc>
          <w:tcPr>
            <w:tcW w:w="700" w:type="dxa"/>
            <w:tcBorders>
              <w:top w:val="nil"/>
              <w:left w:val="nil"/>
              <w:bottom w:val="single" w:color="000000" w:sz="0" w:space="0"/>
              <w:right w:val="nil"/>
            </w:tcBorders>
            <w:tcMar>
              <w:top w:w="80" w:type="dxa"/>
              <w:left w:w="120" w:type="dxa"/>
              <w:bottom w:w="80" w:type="dxa"/>
              <w:right w:w="120" w:type="dxa"/>
            </w:tcMar>
            <w:vAlign w:val="center"/>
          </w:tcPr>
          <w:p w14:paraId="269A6540">
            <w:pPr>
              <w:jc w:val="left"/>
            </w:pPr>
          </w:p>
        </w:tc>
      </w:tr>
    </w:tbl>
    <w:p w14:paraId="7681697A">
      <w:pPr>
        <w:spacing w:before="60" w:after="160"/>
      </w:pPr>
      <w:r>
        <w:rPr>
          <w:rFonts w:ascii="Times New Roman" w:eastAsia="宋体"/>
          <w:i/>
          <w:iCs/>
          <w:color w:val="555555"/>
          <w:sz w:val="18"/>
          <w:szCs w:val="18"/>
        </w:rPr>
        <w:t>注：β为标准化回归系数</w:t>
      </w:r>
    </w:p>
    <w:p w14:paraId="5F278ECD">
      <w:pPr>
        <w:keepNext w:val="0"/>
        <w:keepLines w:val="0"/>
        <w:spacing w:before="120" w:after="120" w:line="240" w:lineRule="auto"/>
        <w:ind w:firstLine="420"/>
        <w:jc w:val="both"/>
      </w:pPr>
      <w:r>
        <w:rPr>
          <w:rFonts w:ascii="Times New Roman" w:hAnsi="Times New Roman" w:eastAsia="宋体"/>
          <w:b w:val="0"/>
          <w:i w:val="0"/>
          <w:sz w:val="21"/>
        </w:rPr>
        <w:t>由表2可知，模型1中AI素养对AI技术信任具有显著正向影响（B=0.605，β=0.539，p&lt;0.001），解释方差比例R²=0.291，H1得到支持。模型2中AI新闻接触频率对AI技术信任具有显著负向影响（B=-0.043，β=-0.097，p=0.005），解释方差比例R²=0.117，H2得到支持。</w:t>
      </w:r>
    </w:p>
    <w:p w14:paraId="7A97293B">
      <w:pPr>
        <w:keepNext w:val="0"/>
        <w:keepLines w:val="0"/>
        <w:spacing w:before="120" w:after="120" w:line="240" w:lineRule="auto"/>
        <w:ind w:firstLine="420"/>
        <w:jc w:val="both"/>
      </w:pPr>
      <w:r>
        <w:rPr>
          <w:rFonts w:ascii="Times New Roman" w:hAnsi="Times New Roman" w:eastAsia="宋体"/>
          <w:b w:val="0"/>
          <w:i w:val="0"/>
          <w:sz w:val="21"/>
        </w:rPr>
        <w:t>此外，模型1中控制变量均未达到显著水平（p&gt;0.05）；模型2中性别（β=0.158，p&lt;0.001）和政治兴趣（β=0.247，p&lt;0.001）对AI技术信任有显著影响，其余控制变量不显著。上述结果说明在控制人口统计变量后，AI素养和AI新闻接触频率对AI技术信任的主效应依然稳健。</w:t>
      </w:r>
    </w:p>
    <w:p w14:paraId="0C688E71">
      <w:pPr>
        <w:pStyle w:val="4"/>
        <w:keepNext/>
        <w:keepLines w:val="0"/>
        <w:spacing w:before="240" w:after="120" w:line="240" w:lineRule="auto"/>
        <w:jc w:val="left"/>
      </w:pPr>
      <w:bookmarkStart w:id="39" w:name="_Toc1835379549"/>
      <w:r>
        <w:rPr>
          <w:rFonts w:ascii="Times New Roman" w:hAnsi="Times New Roman" w:eastAsia="黑体"/>
          <w:b/>
          <w:i w:val="0"/>
          <w:color w:val="000000"/>
          <w:sz w:val="30"/>
        </w:rPr>
        <w:t>4.4  中介效应检验（H3、H4）</w:t>
      </w:r>
      <w:bookmarkEnd w:id="39"/>
    </w:p>
    <w:p w14:paraId="6325F8AB">
      <w:pPr>
        <w:keepNext w:val="0"/>
        <w:keepLines w:val="0"/>
        <w:spacing w:before="120" w:after="12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为检验H3与H4，以AI新闻信任为因变量，同时纳入AI素养、AI新闻接触频率和AI技术信任进行回归分析，并采用PROCESS宏（Model 4，Bootstrap=5000次）检验中介效应。结果见表3。</w:t>
      </w:r>
    </w:p>
    <w:p w14:paraId="1F399FB4">
      <w:pPr>
        <w:keepNext w:val="0"/>
        <w:keepLines w:val="0"/>
        <w:spacing w:before="120" w:after="120" w:line="240" w:lineRule="auto"/>
        <w:jc w:val="both"/>
        <w:rPr>
          <w:rFonts w:ascii="Times New Roman" w:hAnsi="Times New Roman" w:eastAsia="宋体"/>
          <w:b w:val="0"/>
          <w:i w:val="0"/>
          <w:sz w:val="21"/>
        </w:rPr>
      </w:pPr>
    </w:p>
    <w:p w14:paraId="07A5E9AF">
      <w:pPr>
        <w:spacing w:before="200" w:after="80"/>
        <w:jc w:val="center"/>
        <w:rPr>
          <w:b w:val="0"/>
          <w:bCs w:val="0"/>
          <w:sz w:val="18"/>
          <w:szCs w:val="18"/>
        </w:rPr>
      </w:pPr>
      <w:r>
        <w:rPr>
          <w:rFonts w:ascii="Times New Roman" w:eastAsia="宋体"/>
          <w:b w:val="0"/>
          <w:bCs w:val="0"/>
          <w:sz w:val="18"/>
          <w:szCs w:val="18"/>
        </w:rPr>
        <w:t>表3  AI技术信任的中介效应检验（n=904）</w:t>
      </w:r>
    </w:p>
    <w:tbl>
      <w:tblPr>
        <w:tblStyle w:val="35"/>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1"/>
        <w:gridCol w:w="883"/>
        <w:gridCol w:w="883"/>
        <w:gridCol w:w="883"/>
        <w:gridCol w:w="889"/>
        <w:gridCol w:w="890"/>
        <w:gridCol w:w="891"/>
      </w:tblGrid>
      <w:tr w14:paraId="77F75E1F">
        <w:tc>
          <w:tcPr>
            <w:tcW w:w="2800" w:type="dxa"/>
            <w:tcBorders>
              <w:top w:val="single" w:color="000000" w:sz="0" w:space="0"/>
              <w:left w:val="nil"/>
              <w:bottom w:val="nil"/>
              <w:right w:val="nil"/>
            </w:tcBorders>
            <w:tcMar>
              <w:top w:w="80" w:type="dxa"/>
              <w:left w:w="120" w:type="dxa"/>
              <w:bottom w:w="80" w:type="dxa"/>
              <w:right w:w="120" w:type="dxa"/>
            </w:tcMar>
            <w:vAlign w:val="center"/>
          </w:tcPr>
          <w:p w14:paraId="601A58C4">
            <w:pPr>
              <w:jc w:val="left"/>
            </w:pPr>
            <w:r>
              <w:rPr>
                <w:rFonts w:ascii="Times New Roman" w:eastAsia="宋体"/>
                <w:b/>
                <w:bCs/>
                <w:i w:val="0"/>
                <w:iCs w:val="0"/>
                <w:color w:val="000000"/>
                <w:sz w:val="18"/>
                <w:szCs w:val="18"/>
              </w:rPr>
              <w:t>变量</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5786D69A">
            <w:pPr>
              <w:jc w:val="center"/>
            </w:pPr>
            <w:r>
              <w:rPr>
                <w:rFonts w:ascii="Times New Roman" w:eastAsia="宋体"/>
                <w:b/>
                <w:bCs/>
                <w:i w:val="0"/>
                <w:iCs w:val="0"/>
                <w:color w:val="000000"/>
                <w:sz w:val="18"/>
                <w:szCs w:val="18"/>
              </w:rPr>
              <w:t>B</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6ADF13B9">
            <w:pPr>
              <w:jc w:val="center"/>
            </w:pPr>
            <w:r>
              <w:rPr>
                <w:rFonts w:ascii="Times New Roman" w:eastAsia="宋体"/>
                <w:b/>
                <w:bCs/>
                <w:i w:val="0"/>
                <w:iCs w:val="0"/>
                <w:color w:val="000000"/>
                <w:sz w:val="18"/>
                <w:szCs w:val="18"/>
              </w:rPr>
              <w:t>SE</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77081AF4">
            <w:pPr>
              <w:jc w:val="center"/>
            </w:pPr>
            <w:r>
              <w:rPr>
                <w:rFonts w:ascii="Times New Roman" w:eastAsia="宋体"/>
                <w:b/>
                <w:bCs/>
                <w:i/>
                <w:iCs/>
                <w:color w:val="000000"/>
                <w:sz w:val="18"/>
                <w:szCs w:val="18"/>
              </w:rPr>
              <w:t>β</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7D5D4AF4">
            <w:pPr>
              <w:jc w:val="center"/>
            </w:pPr>
            <w:r>
              <w:rPr>
                <w:rFonts w:ascii="Times New Roman" w:eastAsia="宋体"/>
                <w:b/>
                <w:bCs/>
                <w:i/>
                <w:iCs/>
                <w:color w:val="000000"/>
                <w:sz w:val="18"/>
                <w:szCs w:val="18"/>
              </w:rPr>
              <w:t>t</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2F4FBB22">
            <w:pPr>
              <w:jc w:val="center"/>
            </w:pPr>
            <w:r>
              <w:rPr>
                <w:rFonts w:ascii="Times New Roman" w:eastAsia="宋体"/>
                <w:b/>
                <w:bCs/>
                <w:i/>
                <w:iCs/>
                <w:color w:val="000000"/>
                <w:sz w:val="18"/>
                <w:szCs w:val="18"/>
              </w:rPr>
              <w:t>p</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542D5901">
            <w:pPr>
              <w:jc w:val="center"/>
            </w:pPr>
            <w:r>
              <w:rPr>
                <w:rFonts w:ascii="Times New Roman" w:eastAsia="宋体"/>
                <w:b/>
                <w:bCs/>
                <w:i w:val="0"/>
                <w:iCs w:val="0"/>
                <w:color w:val="000000"/>
                <w:sz w:val="18"/>
                <w:szCs w:val="18"/>
              </w:rPr>
              <w:t>95% CI</w:t>
            </w:r>
          </w:p>
        </w:tc>
      </w:tr>
      <w:tr w14:paraId="09E81548">
        <w:tc>
          <w:tcPr>
            <w:tcW w:w="2800" w:type="dxa"/>
            <w:tcBorders>
              <w:top w:val="single" w:color="000000" w:sz="0" w:space="0"/>
              <w:left w:val="nil"/>
              <w:bottom w:val="nil"/>
              <w:right w:val="nil"/>
            </w:tcBorders>
            <w:tcMar>
              <w:top w:w="80" w:type="dxa"/>
              <w:left w:w="120" w:type="dxa"/>
              <w:bottom w:w="80" w:type="dxa"/>
              <w:right w:w="120" w:type="dxa"/>
            </w:tcMar>
            <w:vAlign w:val="center"/>
          </w:tcPr>
          <w:p w14:paraId="6812972E">
            <w:pPr>
              <w:jc w:val="left"/>
            </w:pPr>
            <w:r>
              <w:rPr>
                <w:rFonts w:ascii="Times New Roman" w:eastAsia="宋体"/>
                <w:b/>
                <w:bCs/>
                <w:i w:val="0"/>
                <w:iCs w:val="0"/>
                <w:color w:val="000000"/>
                <w:sz w:val="18"/>
                <w:szCs w:val="18"/>
              </w:rPr>
              <w:t>因变量：AI新闻信任</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03EF9E98">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5C34FF46">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4E591ACA">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78D11D7A">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33078993">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366DDBA5">
            <w:pPr>
              <w:jc w:val="left"/>
            </w:pPr>
          </w:p>
        </w:tc>
      </w:tr>
      <w:tr w14:paraId="5EB5EBA0">
        <w:tc>
          <w:tcPr>
            <w:tcW w:w="2800" w:type="dxa"/>
            <w:tcBorders>
              <w:top w:val="nil"/>
              <w:left w:val="nil"/>
              <w:bottom w:val="nil"/>
              <w:right w:val="nil"/>
            </w:tcBorders>
            <w:tcMar>
              <w:top w:w="80" w:type="dxa"/>
              <w:left w:w="120" w:type="dxa"/>
              <w:bottom w:w="80" w:type="dxa"/>
              <w:right w:w="120" w:type="dxa"/>
            </w:tcMar>
            <w:vAlign w:val="center"/>
          </w:tcPr>
          <w:p w14:paraId="088FABA6">
            <w:pPr>
              <w:jc w:val="left"/>
            </w:pPr>
            <w:r>
              <w:rPr>
                <w:rFonts w:ascii="Times New Roman" w:eastAsia="宋体"/>
                <w:b w:val="0"/>
                <w:bCs w:val="0"/>
                <w:i w:val="0"/>
                <w:iCs w:val="0"/>
                <w:color w:val="000000"/>
                <w:sz w:val="18"/>
                <w:szCs w:val="18"/>
              </w:rPr>
              <w:t>AI素养</w:t>
            </w:r>
          </w:p>
        </w:tc>
        <w:tc>
          <w:tcPr>
            <w:tcW w:w="900" w:type="dxa"/>
            <w:tcBorders>
              <w:top w:val="nil"/>
              <w:left w:val="nil"/>
              <w:bottom w:val="nil"/>
              <w:right w:val="nil"/>
            </w:tcBorders>
            <w:tcMar>
              <w:top w:w="80" w:type="dxa"/>
              <w:left w:w="120" w:type="dxa"/>
              <w:bottom w:w="80" w:type="dxa"/>
              <w:right w:w="120" w:type="dxa"/>
            </w:tcMar>
            <w:vAlign w:val="center"/>
          </w:tcPr>
          <w:p w14:paraId="7D5BB468">
            <w:pPr>
              <w:jc w:val="center"/>
            </w:pPr>
            <w:r>
              <w:rPr>
                <w:rFonts w:ascii="Times New Roman" w:eastAsia="宋体"/>
                <w:b w:val="0"/>
                <w:bCs w:val="0"/>
                <w:i w:val="0"/>
                <w:iCs w:val="0"/>
                <w:color w:val="000000"/>
                <w:sz w:val="18"/>
                <w:szCs w:val="18"/>
              </w:rPr>
              <w:t>-0.317</w:t>
            </w:r>
          </w:p>
        </w:tc>
        <w:tc>
          <w:tcPr>
            <w:tcW w:w="900" w:type="dxa"/>
            <w:tcBorders>
              <w:top w:val="nil"/>
              <w:left w:val="nil"/>
              <w:bottom w:val="nil"/>
              <w:right w:val="nil"/>
            </w:tcBorders>
            <w:tcMar>
              <w:top w:w="80" w:type="dxa"/>
              <w:left w:w="120" w:type="dxa"/>
              <w:bottom w:w="80" w:type="dxa"/>
              <w:right w:w="120" w:type="dxa"/>
            </w:tcMar>
            <w:vAlign w:val="center"/>
          </w:tcPr>
          <w:p w14:paraId="66A97854">
            <w:pPr>
              <w:jc w:val="center"/>
            </w:pPr>
            <w:r>
              <w:rPr>
                <w:rFonts w:ascii="Times New Roman" w:eastAsia="宋体"/>
                <w:b w:val="0"/>
                <w:bCs w:val="0"/>
                <w:i w:val="0"/>
                <w:iCs w:val="0"/>
                <w:color w:val="000000"/>
                <w:sz w:val="18"/>
                <w:szCs w:val="18"/>
              </w:rPr>
              <w:t>0.052</w:t>
            </w:r>
          </w:p>
        </w:tc>
        <w:tc>
          <w:tcPr>
            <w:tcW w:w="900" w:type="dxa"/>
            <w:tcBorders>
              <w:top w:val="nil"/>
              <w:left w:val="nil"/>
              <w:bottom w:val="nil"/>
              <w:right w:val="nil"/>
            </w:tcBorders>
            <w:tcMar>
              <w:top w:w="80" w:type="dxa"/>
              <w:left w:w="120" w:type="dxa"/>
              <w:bottom w:w="80" w:type="dxa"/>
              <w:right w:w="120" w:type="dxa"/>
            </w:tcMar>
            <w:vAlign w:val="center"/>
          </w:tcPr>
          <w:p w14:paraId="09E24F96">
            <w:pPr>
              <w:jc w:val="center"/>
            </w:pPr>
            <w:r>
              <w:rPr>
                <w:rFonts w:ascii="Times New Roman" w:eastAsia="宋体"/>
                <w:b w:val="0"/>
                <w:bCs w:val="0"/>
                <w:i w:val="0"/>
                <w:iCs w:val="0"/>
                <w:color w:val="000000"/>
                <w:sz w:val="18"/>
                <w:szCs w:val="18"/>
              </w:rPr>
              <w:t>-0.194</w:t>
            </w:r>
          </w:p>
        </w:tc>
        <w:tc>
          <w:tcPr>
            <w:tcW w:w="900" w:type="dxa"/>
            <w:tcBorders>
              <w:top w:val="nil"/>
              <w:left w:val="nil"/>
              <w:bottom w:val="nil"/>
              <w:right w:val="nil"/>
            </w:tcBorders>
            <w:tcMar>
              <w:top w:w="80" w:type="dxa"/>
              <w:left w:w="120" w:type="dxa"/>
              <w:bottom w:w="80" w:type="dxa"/>
              <w:right w:w="120" w:type="dxa"/>
            </w:tcMar>
            <w:vAlign w:val="center"/>
          </w:tcPr>
          <w:p w14:paraId="5391EE6C">
            <w:pPr>
              <w:jc w:val="center"/>
            </w:pPr>
            <w:r>
              <w:rPr>
                <w:rFonts w:ascii="Times New Roman" w:eastAsia="宋体"/>
                <w:b w:val="0"/>
                <w:bCs w:val="0"/>
                <w:i w:val="0"/>
                <w:iCs w:val="0"/>
                <w:color w:val="000000"/>
                <w:sz w:val="18"/>
                <w:szCs w:val="18"/>
              </w:rPr>
              <w:t>-6.054</w:t>
            </w:r>
          </w:p>
        </w:tc>
        <w:tc>
          <w:tcPr>
            <w:tcW w:w="900" w:type="dxa"/>
            <w:tcBorders>
              <w:top w:val="nil"/>
              <w:left w:val="nil"/>
              <w:bottom w:val="nil"/>
              <w:right w:val="nil"/>
            </w:tcBorders>
            <w:tcMar>
              <w:top w:w="80" w:type="dxa"/>
              <w:left w:w="120" w:type="dxa"/>
              <w:bottom w:w="80" w:type="dxa"/>
              <w:right w:w="120" w:type="dxa"/>
            </w:tcMar>
            <w:vAlign w:val="center"/>
          </w:tcPr>
          <w:p w14:paraId="1FF29F5F">
            <w:pPr>
              <w:jc w:val="center"/>
            </w:pPr>
            <w:r>
              <w:rPr>
                <w:rFonts w:ascii="Times New Roman" w:eastAsia="宋体"/>
                <w:b w:val="0"/>
                <w:bCs w:val="0"/>
                <w:i w:val="0"/>
                <w:iCs w:val="0"/>
                <w:color w:val="000000"/>
                <w:sz w:val="18"/>
                <w:szCs w:val="18"/>
              </w:rPr>
              <w:t>&lt;0.001</w:t>
            </w:r>
          </w:p>
        </w:tc>
        <w:tc>
          <w:tcPr>
            <w:tcW w:w="900" w:type="dxa"/>
            <w:tcBorders>
              <w:top w:val="nil"/>
              <w:left w:val="nil"/>
              <w:bottom w:val="nil"/>
              <w:right w:val="nil"/>
            </w:tcBorders>
            <w:tcMar>
              <w:top w:w="80" w:type="dxa"/>
              <w:left w:w="120" w:type="dxa"/>
              <w:bottom w:w="80" w:type="dxa"/>
              <w:right w:w="120" w:type="dxa"/>
            </w:tcMar>
            <w:vAlign w:val="center"/>
          </w:tcPr>
          <w:p w14:paraId="22D872B8">
            <w:pPr>
              <w:jc w:val="center"/>
            </w:pPr>
            <w:r>
              <w:rPr>
                <w:rFonts w:ascii="Times New Roman" w:eastAsia="宋体"/>
                <w:b w:val="0"/>
                <w:bCs w:val="0"/>
                <w:i w:val="0"/>
                <w:iCs w:val="0"/>
                <w:color w:val="000000"/>
                <w:sz w:val="18"/>
                <w:szCs w:val="18"/>
              </w:rPr>
              <w:t>[-0.419, -0.215]</w:t>
            </w:r>
          </w:p>
        </w:tc>
      </w:tr>
      <w:tr w14:paraId="515953D9">
        <w:tc>
          <w:tcPr>
            <w:tcW w:w="2800" w:type="dxa"/>
            <w:tcBorders>
              <w:top w:val="nil"/>
              <w:left w:val="nil"/>
              <w:bottom w:val="nil"/>
              <w:right w:val="nil"/>
            </w:tcBorders>
            <w:tcMar>
              <w:top w:w="80" w:type="dxa"/>
              <w:left w:w="120" w:type="dxa"/>
              <w:bottom w:w="80" w:type="dxa"/>
              <w:right w:w="120" w:type="dxa"/>
            </w:tcMar>
            <w:vAlign w:val="center"/>
          </w:tcPr>
          <w:p w14:paraId="004DBB6E">
            <w:pPr>
              <w:jc w:val="left"/>
            </w:pPr>
            <w:r>
              <w:rPr>
                <w:rFonts w:ascii="Times New Roman" w:eastAsia="宋体"/>
                <w:b w:val="0"/>
                <w:bCs w:val="0"/>
                <w:i w:val="0"/>
                <w:iCs w:val="0"/>
                <w:color w:val="000000"/>
                <w:sz w:val="18"/>
                <w:szCs w:val="18"/>
              </w:rPr>
              <w:t>AI新闻接触频率</w:t>
            </w:r>
          </w:p>
        </w:tc>
        <w:tc>
          <w:tcPr>
            <w:tcW w:w="900" w:type="dxa"/>
            <w:tcBorders>
              <w:top w:val="nil"/>
              <w:left w:val="nil"/>
              <w:bottom w:val="nil"/>
              <w:right w:val="nil"/>
            </w:tcBorders>
            <w:tcMar>
              <w:top w:w="80" w:type="dxa"/>
              <w:left w:w="120" w:type="dxa"/>
              <w:bottom w:w="80" w:type="dxa"/>
              <w:right w:w="120" w:type="dxa"/>
            </w:tcMar>
            <w:vAlign w:val="center"/>
          </w:tcPr>
          <w:p w14:paraId="4569AE69">
            <w:pPr>
              <w:jc w:val="center"/>
            </w:pPr>
            <w:r>
              <w:rPr>
                <w:rFonts w:ascii="Times New Roman" w:eastAsia="宋体"/>
                <w:b w:val="0"/>
                <w:bCs w:val="0"/>
                <w:i w:val="0"/>
                <w:iCs w:val="0"/>
                <w:color w:val="000000"/>
                <w:sz w:val="18"/>
                <w:szCs w:val="18"/>
              </w:rPr>
              <w:t>-0.038</w:t>
            </w:r>
          </w:p>
        </w:tc>
        <w:tc>
          <w:tcPr>
            <w:tcW w:w="900" w:type="dxa"/>
            <w:tcBorders>
              <w:top w:val="nil"/>
              <w:left w:val="nil"/>
              <w:bottom w:val="nil"/>
              <w:right w:val="nil"/>
            </w:tcBorders>
            <w:tcMar>
              <w:top w:w="80" w:type="dxa"/>
              <w:left w:w="120" w:type="dxa"/>
              <w:bottom w:w="80" w:type="dxa"/>
              <w:right w:w="120" w:type="dxa"/>
            </w:tcMar>
            <w:vAlign w:val="center"/>
          </w:tcPr>
          <w:p w14:paraId="0F651793">
            <w:pPr>
              <w:jc w:val="center"/>
            </w:pPr>
            <w:r>
              <w:rPr>
                <w:rFonts w:ascii="Times New Roman" w:eastAsia="宋体"/>
                <w:b w:val="0"/>
                <w:bCs w:val="0"/>
                <w:i w:val="0"/>
                <w:iCs w:val="0"/>
                <w:color w:val="000000"/>
                <w:sz w:val="18"/>
                <w:szCs w:val="18"/>
              </w:rPr>
              <w:t>0.018</w:t>
            </w:r>
          </w:p>
        </w:tc>
        <w:tc>
          <w:tcPr>
            <w:tcW w:w="900" w:type="dxa"/>
            <w:tcBorders>
              <w:top w:val="nil"/>
              <w:left w:val="nil"/>
              <w:bottom w:val="nil"/>
              <w:right w:val="nil"/>
            </w:tcBorders>
            <w:tcMar>
              <w:top w:w="80" w:type="dxa"/>
              <w:left w:w="120" w:type="dxa"/>
              <w:bottom w:w="80" w:type="dxa"/>
              <w:right w:w="120" w:type="dxa"/>
            </w:tcMar>
            <w:vAlign w:val="center"/>
          </w:tcPr>
          <w:p w14:paraId="023D16B0">
            <w:pPr>
              <w:jc w:val="center"/>
            </w:pPr>
            <w:r>
              <w:rPr>
                <w:rFonts w:ascii="Times New Roman" w:eastAsia="宋体"/>
                <w:b w:val="0"/>
                <w:bCs w:val="0"/>
                <w:i w:val="0"/>
                <w:iCs w:val="0"/>
                <w:color w:val="000000"/>
                <w:sz w:val="18"/>
                <w:szCs w:val="18"/>
              </w:rPr>
              <w:t>-0.060</w:t>
            </w:r>
          </w:p>
        </w:tc>
        <w:tc>
          <w:tcPr>
            <w:tcW w:w="900" w:type="dxa"/>
            <w:tcBorders>
              <w:top w:val="nil"/>
              <w:left w:val="nil"/>
              <w:bottom w:val="nil"/>
              <w:right w:val="nil"/>
            </w:tcBorders>
            <w:tcMar>
              <w:top w:w="80" w:type="dxa"/>
              <w:left w:w="120" w:type="dxa"/>
              <w:bottom w:w="80" w:type="dxa"/>
              <w:right w:w="120" w:type="dxa"/>
            </w:tcMar>
            <w:vAlign w:val="center"/>
          </w:tcPr>
          <w:p w14:paraId="6D418039">
            <w:pPr>
              <w:jc w:val="center"/>
            </w:pPr>
            <w:r>
              <w:rPr>
                <w:rFonts w:ascii="Times New Roman" w:eastAsia="宋体"/>
                <w:b w:val="0"/>
                <w:bCs w:val="0"/>
                <w:i w:val="0"/>
                <w:iCs w:val="0"/>
                <w:color w:val="000000"/>
                <w:sz w:val="18"/>
                <w:szCs w:val="18"/>
              </w:rPr>
              <w:t>-2.088</w:t>
            </w:r>
          </w:p>
        </w:tc>
        <w:tc>
          <w:tcPr>
            <w:tcW w:w="900" w:type="dxa"/>
            <w:tcBorders>
              <w:top w:val="nil"/>
              <w:left w:val="nil"/>
              <w:bottom w:val="nil"/>
              <w:right w:val="nil"/>
            </w:tcBorders>
            <w:tcMar>
              <w:top w:w="80" w:type="dxa"/>
              <w:left w:w="120" w:type="dxa"/>
              <w:bottom w:w="80" w:type="dxa"/>
              <w:right w:w="120" w:type="dxa"/>
            </w:tcMar>
            <w:vAlign w:val="center"/>
          </w:tcPr>
          <w:p w14:paraId="644A3848">
            <w:pPr>
              <w:jc w:val="center"/>
            </w:pPr>
            <w:r>
              <w:rPr>
                <w:rFonts w:ascii="Times New Roman" w:eastAsia="宋体"/>
                <w:b w:val="0"/>
                <w:bCs w:val="0"/>
                <w:i w:val="0"/>
                <w:iCs w:val="0"/>
                <w:color w:val="000000"/>
                <w:sz w:val="18"/>
                <w:szCs w:val="18"/>
              </w:rPr>
              <w:t>0.037</w:t>
            </w:r>
          </w:p>
        </w:tc>
        <w:tc>
          <w:tcPr>
            <w:tcW w:w="900" w:type="dxa"/>
            <w:tcBorders>
              <w:top w:val="nil"/>
              <w:left w:val="nil"/>
              <w:bottom w:val="nil"/>
              <w:right w:val="nil"/>
            </w:tcBorders>
            <w:tcMar>
              <w:top w:w="80" w:type="dxa"/>
              <w:left w:w="120" w:type="dxa"/>
              <w:bottom w:w="80" w:type="dxa"/>
              <w:right w:w="120" w:type="dxa"/>
            </w:tcMar>
            <w:vAlign w:val="center"/>
          </w:tcPr>
          <w:p w14:paraId="349D72D8">
            <w:pPr>
              <w:jc w:val="center"/>
            </w:pPr>
            <w:r>
              <w:rPr>
                <w:rFonts w:ascii="Times New Roman" w:eastAsia="宋体"/>
                <w:b w:val="0"/>
                <w:bCs w:val="0"/>
                <w:i w:val="0"/>
                <w:iCs w:val="0"/>
                <w:color w:val="000000"/>
                <w:sz w:val="18"/>
                <w:szCs w:val="18"/>
              </w:rPr>
              <w:t>[-0.073, -0.003]</w:t>
            </w:r>
          </w:p>
        </w:tc>
      </w:tr>
      <w:tr w14:paraId="6A610082">
        <w:tc>
          <w:tcPr>
            <w:tcW w:w="2800" w:type="dxa"/>
            <w:tcBorders>
              <w:top w:val="nil"/>
              <w:left w:val="nil"/>
              <w:bottom w:val="nil"/>
              <w:right w:val="nil"/>
            </w:tcBorders>
            <w:tcMar>
              <w:top w:w="80" w:type="dxa"/>
              <w:left w:w="120" w:type="dxa"/>
              <w:bottom w:w="80" w:type="dxa"/>
              <w:right w:w="120" w:type="dxa"/>
            </w:tcMar>
            <w:vAlign w:val="center"/>
          </w:tcPr>
          <w:p w14:paraId="5194CD48">
            <w:pPr>
              <w:jc w:val="left"/>
            </w:pPr>
            <w:r>
              <w:rPr>
                <w:rFonts w:ascii="Times New Roman" w:eastAsia="宋体"/>
                <w:b/>
                <w:bCs/>
                <w:i w:val="0"/>
                <w:iCs w:val="0"/>
                <w:color w:val="000000"/>
                <w:sz w:val="18"/>
                <w:szCs w:val="18"/>
              </w:rPr>
              <w:t>AI技术信任</w:t>
            </w:r>
          </w:p>
        </w:tc>
        <w:tc>
          <w:tcPr>
            <w:tcW w:w="900" w:type="dxa"/>
            <w:tcBorders>
              <w:top w:val="nil"/>
              <w:left w:val="nil"/>
              <w:bottom w:val="nil"/>
              <w:right w:val="nil"/>
            </w:tcBorders>
            <w:tcMar>
              <w:top w:w="80" w:type="dxa"/>
              <w:left w:w="120" w:type="dxa"/>
              <w:bottom w:w="80" w:type="dxa"/>
              <w:right w:w="120" w:type="dxa"/>
            </w:tcMar>
            <w:vAlign w:val="center"/>
          </w:tcPr>
          <w:p w14:paraId="46073ED9">
            <w:pPr>
              <w:jc w:val="center"/>
            </w:pPr>
            <w:r>
              <w:rPr>
                <w:rFonts w:ascii="Times New Roman" w:eastAsia="宋体"/>
                <w:b/>
                <w:bCs/>
                <w:i w:val="0"/>
                <w:iCs w:val="0"/>
                <w:color w:val="000000"/>
                <w:sz w:val="18"/>
                <w:szCs w:val="18"/>
              </w:rPr>
              <w:t>0.934</w:t>
            </w:r>
          </w:p>
        </w:tc>
        <w:tc>
          <w:tcPr>
            <w:tcW w:w="900" w:type="dxa"/>
            <w:tcBorders>
              <w:top w:val="nil"/>
              <w:left w:val="nil"/>
              <w:bottom w:val="nil"/>
              <w:right w:val="nil"/>
            </w:tcBorders>
            <w:tcMar>
              <w:top w:w="80" w:type="dxa"/>
              <w:left w:w="120" w:type="dxa"/>
              <w:bottom w:w="80" w:type="dxa"/>
              <w:right w:w="120" w:type="dxa"/>
            </w:tcMar>
            <w:vAlign w:val="center"/>
          </w:tcPr>
          <w:p w14:paraId="512A6E58">
            <w:pPr>
              <w:jc w:val="center"/>
            </w:pPr>
            <w:r>
              <w:rPr>
                <w:rFonts w:ascii="Times New Roman" w:eastAsia="宋体"/>
                <w:b/>
                <w:bCs/>
                <w:i w:val="0"/>
                <w:iCs w:val="0"/>
                <w:color w:val="000000"/>
                <w:sz w:val="18"/>
                <w:szCs w:val="18"/>
              </w:rPr>
              <w:t>0.047</w:t>
            </w:r>
          </w:p>
        </w:tc>
        <w:tc>
          <w:tcPr>
            <w:tcW w:w="900" w:type="dxa"/>
            <w:tcBorders>
              <w:top w:val="nil"/>
              <w:left w:val="nil"/>
              <w:bottom w:val="nil"/>
              <w:right w:val="nil"/>
            </w:tcBorders>
            <w:tcMar>
              <w:top w:w="80" w:type="dxa"/>
              <w:left w:w="120" w:type="dxa"/>
              <w:bottom w:w="80" w:type="dxa"/>
              <w:right w:w="120" w:type="dxa"/>
            </w:tcMar>
            <w:vAlign w:val="center"/>
          </w:tcPr>
          <w:p w14:paraId="5F9E0F6A">
            <w:pPr>
              <w:jc w:val="center"/>
            </w:pPr>
            <w:r>
              <w:rPr>
                <w:rFonts w:ascii="Times New Roman" w:eastAsia="宋体"/>
                <w:b/>
                <w:bCs/>
                <w:i w:val="0"/>
                <w:iCs w:val="0"/>
                <w:color w:val="000000"/>
                <w:sz w:val="18"/>
                <w:szCs w:val="18"/>
              </w:rPr>
              <w:t>0.649</w:t>
            </w:r>
          </w:p>
        </w:tc>
        <w:tc>
          <w:tcPr>
            <w:tcW w:w="900" w:type="dxa"/>
            <w:tcBorders>
              <w:top w:val="nil"/>
              <w:left w:val="nil"/>
              <w:bottom w:val="nil"/>
              <w:right w:val="nil"/>
            </w:tcBorders>
            <w:tcMar>
              <w:top w:w="80" w:type="dxa"/>
              <w:left w:w="120" w:type="dxa"/>
              <w:bottom w:w="80" w:type="dxa"/>
              <w:right w:w="120" w:type="dxa"/>
            </w:tcMar>
            <w:vAlign w:val="center"/>
          </w:tcPr>
          <w:p w14:paraId="0131EC7C">
            <w:pPr>
              <w:jc w:val="center"/>
            </w:pPr>
            <w:r>
              <w:rPr>
                <w:rFonts w:ascii="Times New Roman" w:eastAsia="宋体"/>
                <w:b/>
                <w:bCs/>
                <w:i w:val="0"/>
                <w:iCs w:val="0"/>
                <w:color w:val="000000"/>
                <w:sz w:val="18"/>
                <w:szCs w:val="18"/>
              </w:rPr>
              <w:t>19.907</w:t>
            </w:r>
          </w:p>
        </w:tc>
        <w:tc>
          <w:tcPr>
            <w:tcW w:w="900" w:type="dxa"/>
            <w:tcBorders>
              <w:top w:val="nil"/>
              <w:left w:val="nil"/>
              <w:bottom w:val="nil"/>
              <w:right w:val="nil"/>
            </w:tcBorders>
            <w:tcMar>
              <w:top w:w="80" w:type="dxa"/>
              <w:left w:w="120" w:type="dxa"/>
              <w:bottom w:w="80" w:type="dxa"/>
              <w:right w:w="120" w:type="dxa"/>
            </w:tcMar>
            <w:vAlign w:val="center"/>
          </w:tcPr>
          <w:p w14:paraId="602D8C60">
            <w:pPr>
              <w:jc w:val="center"/>
            </w:pPr>
            <w:r>
              <w:rPr>
                <w:rFonts w:ascii="Times New Roman" w:eastAsia="宋体"/>
                <w:b/>
                <w:bCs/>
                <w:i w:val="0"/>
                <w:iCs w:val="0"/>
                <w:color w:val="000000"/>
                <w:sz w:val="18"/>
                <w:szCs w:val="18"/>
              </w:rPr>
              <w:t>&lt;0.001</w:t>
            </w:r>
          </w:p>
        </w:tc>
        <w:tc>
          <w:tcPr>
            <w:tcW w:w="900" w:type="dxa"/>
            <w:tcBorders>
              <w:top w:val="nil"/>
              <w:left w:val="nil"/>
              <w:bottom w:val="nil"/>
              <w:right w:val="nil"/>
            </w:tcBorders>
            <w:tcMar>
              <w:top w:w="80" w:type="dxa"/>
              <w:left w:w="120" w:type="dxa"/>
              <w:bottom w:w="80" w:type="dxa"/>
              <w:right w:w="120" w:type="dxa"/>
            </w:tcMar>
            <w:vAlign w:val="center"/>
          </w:tcPr>
          <w:p w14:paraId="2ED3FF00">
            <w:pPr>
              <w:jc w:val="center"/>
            </w:pPr>
            <w:r>
              <w:rPr>
                <w:rFonts w:ascii="Times New Roman" w:eastAsia="宋体"/>
                <w:b/>
                <w:bCs/>
                <w:i w:val="0"/>
                <w:iCs w:val="0"/>
                <w:color w:val="000000"/>
                <w:sz w:val="18"/>
                <w:szCs w:val="18"/>
              </w:rPr>
              <w:t>[0.842, 1.026]</w:t>
            </w:r>
          </w:p>
        </w:tc>
      </w:tr>
      <w:tr w14:paraId="2CDFEBA8">
        <w:tc>
          <w:tcPr>
            <w:tcW w:w="2800" w:type="dxa"/>
            <w:tcBorders>
              <w:top w:val="nil"/>
              <w:left w:val="nil"/>
              <w:bottom w:val="single" w:color="000000" w:sz="0" w:space="0"/>
              <w:right w:val="nil"/>
            </w:tcBorders>
            <w:tcMar>
              <w:top w:w="80" w:type="dxa"/>
              <w:left w:w="120" w:type="dxa"/>
              <w:bottom w:w="80" w:type="dxa"/>
              <w:right w:w="120" w:type="dxa"/>
            </w:tcMar>
            <w:vAlign w:val="center"/>
          </w:tcPr>
          <w:p w14:paraId="59441503">
            <w:pPr>
              <w:jc w:val="left"/>
            </w:pPr>
            <w:r>
              <w:rPr>
                <w:rFonts w:ascii="Times New Roman" w:eastAsia="宋体"/>
                <w:b w:val="0"/>
                <w:bCs w:val="0"/>
                <w:i w:val="0"/>
                <w:iCs w:val="0"/>
                <w:color w:val="000000"/>
                <w:sz w:val="18"/>
                <w:szCs w:val="18"/>
              </w:rPr>
              <w:t>R²=0.393</w:t>
            </w: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36CE9001">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6404AD8D">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19A3D558">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1608C622">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1E89346A">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19A7ECE2">
            <w:pPr>
              <w:jc w:val="left"/>
            </w:pPr>
          </w:p>
        </w:tc>
      </w:tr>
      <w:tr w14:paraId="1682EC9A">
        <w:tc>
          <w:tcPr>
            <w:tcW w:w="2800" w:type="dxa"/>
            <w:tcBorders>
              <w:top w:val="single" w:color="000000" w:sz="0" w:space="0"/>
              <w:left w:val="nil"/>
              <w:bottom w:val="nil"/>
              <w:right w:val="nil"/>
            </w:tcBorders>
            <w:tcMar>
              <w:top w:w="80" w:type="dxa"/>
              <w:left w:w="120" w:type="dxa"/>
              <w:bottom w:w="80" w:type="dxa"/>
              <w:right w:w="120" w:type="dxa"/>
            </w:tcMar>
            <w:vAlign w:val="center"/>
          </w:tcPr>
          <w:p w14:paraId="29C24328">
            <w:pPr>
              <w:jc w:val="left"/>
            </w:pPr>
            <w:r>
              <w:rPr>
                <w:rFonts w:ascii="Times New Roman" w:eastAsia="宋体"/>
                <w:b/>
                <w:bCs/>
                <w:i w:val="0"/>
                <w:iCs w:val="0"/>
                <w:color w:val="000000"/>
                <w:sz w:val="18"/>
                <w:szCs w:val="18"/>
              </w:rPr>
              <w:t>Bootstrap间接效应（5000次）</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096B87EA">
            <w:pPr>
              <w:jc w:val="center"/>
            </w:pPr>
            <w:r>
              <w:rPr>
                <w:rFonts w:ascii="Times New Roman" w:eastAsia="宋体"/>
                <w:b/>
                <w:bCs/>
                <w:i w:val="0"/>
                <w:iCs w:val="0"/>
                <w:color w:val="000000"/>
                <w:sz w:val="18"/>
                <w:szCs w:val="18"/>
              </w:rPr>
              <w:t>间接效应B</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4BA44C04">
            <w:pPr>
              <w:jc w:val="center"/>
            </w:pPr>
            <w:r>
              <w:rPr>
                <w:rFonts w:ascii="Times New Roman" w:eastAsia="宋体"/>
                <w:b/>
                <w:bCs/>
                <w:i w:val="0"/>
                <w:iCs w:val="0"/>
                <w:color w:val="000000"/>
                <w:sz w:val="18"/>
                <w:szCs w:val="18"/>
              </w:rPr>
              <w:t>Boot SE</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639F2BFF">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46D21464">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3E704D18">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52FDF005">
            <w:pPr>
              <w:jc w:val="center"/>
            </w:pPr>
            <w:r>
              <w:rPr>
                <w:rFonts w:ascii="Times New Roman" w:eastAsia="宋体"/>
                <w:b/>
                <w:bCs/>
                <w:i w:val="0"/>
                <w:iCs w:val="0"/>
                <w:color w:val="000000"/>
                <w:sz w:val="18"/>
                <w:szCs w:val="18"/>
              </w:rPr>
              <w:t>95% Boot CI</w:t>
            </w:r>
          </w:p>
        </w:tc>
      </w:tr>
      <w:tr w14:paraId="4CB0595B">
        <w:tc>
          <w:tcPr>
            <w:tcW w:w="2800" w:type="dxa"/>
            <w:tcBorders>
              <w:top w:val="nil"/>
              <w:left w:val="nil"/>
              <w:bottom w:val="nil"/>
              <w:right w:val="nil"/>
            </w:tcBorders>
            <w:tcMar>
              <w:top w:w="80" w:type="dxa"/>
              <w:left w:w="120" w:type="dxa"/>
              <w:bottom w:w="80" w:type="dxa"/>
              <w:right w:w="120" w:type="dxa"/>
            </w:tcMar>
            <w:vAlign w:val="center"/>
          </w:tcPr>
          <w:p w14:paraId="01A7F562">
            <w:pPr>
              <w:jc w:val="left"/>
            </w:pPr>
            <w:r>
              <w:rPr>
                <w:rFonts w:ascii="Times New Roman" w:eastAsia="宋体"/>
                <w:b w:val="0"/>
                <w:bCs w:val="0"/>
                <w:i w:val="0"/>
                <w:iCs w:val="0"/>
                <w:color w:val="000000"/>
                <w:sz w:val="18"/>
                <w:szCs w:val="18"/>
              </w:rPr>
              <w:t>AI素养→AI技术信任→AI新闻信任（AI素养的间接效应）</w:t>
            </w:r>
          </w:p>
        </w:tc>
        <w:tc>
          <w:tcPr>
            <w:tcW w:w="900" w:type="dxa"/>
            <w:tcBorders>
              <w:top w:val="nil"/>
              <w:left w:val="nil"/>
              <w:bottom w:val="nil"/>
              <w:right w:val="nil"/>
            </w:tcBorders>
            <w:tcMar>
              <w:top w:w="80" w:type="dxa"/>
              <w:left w:w="120" w:type="dxa"/>
              <w:bottom w:w="80" w:type="dxa"/>
              <w:right w:w="120" w:type="dxa"/>
            </w:tcMar>
            <w:vAlign w:val="center"/>
          </w:tcPr>
          <w:p w14:paraId="51668C20">
            <w:pPr>
              <w:jc w:val="center"/>
            </w:pPr>
            <w:r>
              <w:rPr>
                <w:rFonts w:ascii="Times New Roman" w:eastAsia="宋体"/>
                <w:b w:val="0"/>
                <w:bCs w:val="0"/>
                <w:i w:val="0"/>
                <w:iCs w:val="0"/>
                <w:color w:val="000000"/>
                <w:sz w:val="18"/>
                <w:szCs w:val="18"/>
              </w:rPr>
              <w:t>0.539</w:t>
            </w:r>
          </w:p>
        </w:tc>
        <w:tc>
          <w:tcPr>
            <w:tcW w:w="900" w:type="dxa"/>
            <w:tcBorders>
              <w:top w:val="nil"/>
              <w:left w:val="nil"/>
              <w:bottom w:val="nil"/>
              <w:right w:val="nil"/>
            </w:tcBorders>
            <w:tcMar>
              <w:top w:w="80" w:type="dxa"/>
              <w:left w:w="120" w:type="dxa"/>
              <w:bottom w:w="80" w:type="dxa"/>
              <w:right w:w="120" w:type="dxa"/>
            </w:tcMar>
            <w:vAlign w:val="center"/>
          </w:tcPr>
          <w:p w14:paraId="3F185195">
            <w:pPr>
              <w:jc w:val="center"/>
            </w:pPr>
            <w:r>
              <w:rPr>
                <w:rFonts w:ascii="Times New Roman" w:eastAsia="宋体"/>
                <w:b w:val="0"/>
                <w:bCs w:val="0"/>
                <w:i w:val="0"/>
                <w:iCs w:val="0"/>
                <w:color w:val="000000"/>
                <w:sz w:val="18"/>
                <w:szCs w:val="18"/>
              </w:rPr>
              <w:t>0.040</w:t>
            </w:r>
          </w:p>
        </w:tc>
        <w:tc>
          <w:tcPr>
            <w:tcW w:w="900" w:type="dxa"/>
            <w:tcBorders>
              <w:top w:val="nil"/>
              <w:left w:val="nil"/>
              <w:bottom w:val="nil"/>
              <w:right w:val="nil"/>
            </w:tcBorders>
            <w:tcMar>
              <w:top w:w="80" w:type="dxa"/>
              <w:left w:w="120" w:type="dxa"/>
              <w:bottom w:w="80" w:type="dxa"/>
              <w:right w:w="120" w:type="dxa"/>
            </w:tcMar>
            <w:vAlign w:val="center"/>
          </w:tcPr>
          <w:p w14:paraId="2AF1B59B">
            <w:pPr>
              <w:jc w:val="left"/>
            </w:pPr>
          </w:p>
        </w:tc>
        <w:tc>
          <w:tcPr>
            <w:tcW w:w="900" w:type="dxa"/>
            <w:tcBorders>
              <w:top w:val="nil"/>
              <w:left w:val="nil"/>
              <w:bottom w:val="nil"/>
              <w:right w:val="nil"/>
            </w:tcBorders>
            <w:tcMar>
              <w:top w:w="80" w:type="dxa"/>
              <w:left w:w="120" w:type="dxa"/>
              <w:bottom w:w="80" w:type="dxa"/>
              <w:right w:w="120" w:type="dxa"/>
            </w:tcMar>
            <w:vAlign w:val="center"/>
          </w:tcPr>
          <w:p w14:paraId="2B22A857">
            <w:pPr>
              <w:jc w:val="left"/>
            </w:pPr>
          </w:p>
        </w:tc>
        <w:tc>
          <w:tcPr>
            <w:tcW w:w="900" w:type="dxa"/>
            <w:tcBorders>
              <w:top w:val="nil"/>
              <w:left w:val="nil"/>
              <w:bottom w:val="nil"/>
              <w:right w:val="nil"/>
            </w:tcBorders>
            <w:tcMar>
              <w:top w:w="80" w:type="dxa"/>
              <w:left w:w="120" w:type="dxa"/>
              <w:bottom w:w="80" w:type="dxa"/>
              <w:right w:w="120" w:type="dxa"/>
            </w:tcMar>
            <w:vAlign w:val="center"/>
          </w:tcPr>
          <w:p w14:paraId="5317861E">
            <w:pPr>
              <w:jc w:val="left"/>
            </w:pPr>
          </w:p>
        </w:tc>
        <w:tc>
          <w:tcPr>
            <w:tcW w:w="900" w:type="dxa"/>
            <w:tcBorders>
              <w:top w:val="nil"/>
              <w:left w:val="nil"/>
              <w:bottom w:val="nil"/>
              <w:right w:val="nil"/>
            </w:tcBorders>
            <w:tcMar>
              <w:top w:w="80" w:type="dxa"/>
              <w:left w:w="120" w:type="dxa"/>
              <w:bottom w:w="80" w:type="dxa"/>
              <w:right w:w="120" w:type="dxa"/>
            </w:tcMar>
            <w:vAlign w:val="center"/>
          </w:tcPr>
          <w:p w14:paraId="3504DE69">
            <w:pPr>
              <w:jc w:val="center"/>
            </w:pPr>
            <w:r>
              <w:rPr>
                <w:rFonts w:ascii="Times New Roman" w:eastAsia="宋体"/>
                <w:b w:val="0"/>
                <w:bCs w:val="0"/>
                <w:i w:val="0"/>
                <w:iCs w:val="0"/>
                <w:color w:val="000000"/>
                <w:sz w:val="18"/>
                <w:szCs w:val="18"/>
              </w:rPr>
              <w:t>[0.461, 0.622]</w:t>
            </w:r>
          </w:p>
        </w:tc>
      </w:tr>
      <w:tr w14:paraId="3CEF5A0B">
        <w:tc>
          <w:tcPr>
            <w:tcW w:w="2800" w:type="dxa"/>
            <w:tcBorders>
              <w:top w:val="nil"/>
              <w:left w:val="nil"/>
              <w:bottom w:val="single" w:color="000000" w:sz="0" w:space="0"/>
              <w:right w:val="nil"/>
            </w:tcBorders>
            <w:tcMar>
              <w:top w:w="80" w:type="dxa"/>
              <w:left w:w="120" w:type="dxa"/>
              <w:bottom w:w="80" w:type="dxa"/>
              <w:right w:w="120" w:type="dxa"/>
            </w:tcMar>
            <w:vAlign w:val="center"/>
          </w:tcPr>
          <w:p w14:paraId="10AC0C98">
            <w:pPr>
              <w:jc w:val="left"/>
            </w:pPr>
            <w:r>
              <w:rPr>
                <w:rFonts w:ascii="Times New Roman" w:eastAsia="宋体"/>
                <w:b w:val="0"/>
                <w:bCs w:val="0"/>
                <w:i w:val="0"/>
                <w:iCs w:val="0"/>
                <w:color w:val="000000"/>
                <w:sz w:val="18"/>
                <w:szCs w:val="18"/>
              </w:rPr>
              <w:t>AI新闻接触频率→AI技术信任→AI新闻信任（AI新闻接触的间接效应）</w:t>
            </w: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12B04843">
            <w:pPr>
              <w:jc w:val="center"/>
            </w:pPr>
            <w:r>
              <w:rPr>
                <w:rFonts w:ascii="Times New Roman" w:eastAsia="宋体"/>
                <w:b w:val="0"/>
                <w:bCs w:val="0"/>
                <w:i w:val="0"/>
                <w:iCs w:val="0"/>
                <w:color w:val="000000"/>
                <w:sz w:val="18"/>
                <w:szCs w:val="18"/>
              </w:rPr>
              <w:t>-0.034</w:t>
            </w: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3636312B">
            <w:pPr>
              <w:jc w:val="center"/>
            </w:pPr>
            <w:r>
              <w:rPr>
                <w:rFonts w:ascii="Times New Roman" w:eastAsia="宋体"/>
                <w:b w:val="0"/>
                <w:bCs w:val="0"/>
                <w:i w:val="0"/>
                <w:iCs w:val="0"/>
                <w:color w:val="000000"/>
                <w:sz w:val="18"/>
                <w:szCs w:val="18"/>
              </w:rPr>
              <w:t>0.012</w:t>
            </w: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553CC52C">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74D5CA78">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13EF1C0C">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5EA83774">
            <w:pPr>
              <w:jc w:val="center"/>
            </w:pPr>
            <w:r>
              <w:rPr>
                <w:rFonts w:ascii="Times New Roman" w:eastAsia="宋体"/>
                <w:b w:val="0"/>
                <w:bCs w:val="0"/>
                <w:i w:val="0"/>
                <w:iCs w:val="0"/>
                <w:color w:val="000000"/>
                <w:sz w:val="18"/>
                <w:szCs w:val="18"/>
              </w:rPr>
              <w:t>[-0.058, -0.010]</w:t>
            </w:r>
          </w:p>
        </w:tc>
      </w:tr>
    </w:tbl>
    <w:p w14:paraId="5B1E4D0B">
      <w:pPr>
        <w:spacing w:before="60" w:after="160"/>
      </w:pPr>
      <w:r>
        <w:rPr>
          <w:rFonts w:ascii="Times New Roman" w:eastAsia="宋体"/>
          <w:i/>
          <w:iCs/>
          <w:color w:val="555555"/>
          <w:sz w:val="18"/>
          <w:szCs w:val="18"/>
        </w:rPr>
        <w:t>注：Bootstrap置信区间均不含0，说明间接效应显著；控制变量已纳入但为节省篇幅未在表中报告。</w:t>
      </w:r>
    </w:p>
    <w:p w14:paraId="66ED488C">
      <w:pPr>
        <w:keepNext w:val="0"/>
        <w:keepLines w:val="0"/>
        <w:spacing w:before="120" w:after="120" w:line="240" w:lineRule="auto"/>
        <w:ind w:firstLine="420"/>
        <w:jc w:val="both"/>
      </w:pPr>
      <w:r>
        <w:rPr>
          <w:rFonts w:ascii="Times New Roman" w:hAnsi="Times New Roman" w:eastAsia="宋体"/>
          <w:b w:val="0"/>
          <w:i w:val="0"/>
          <w:sz w:val="21"/>
        </w:rPr>
        <w:t>表3结果显示，AI技术信任对AI新闻信任具有显著正向影响（B=0.934，β=0.649，p&lt;0.001），H3得到支持。Bootstrap中介效应检验结果表明，AI素养通过AI技术信任影响AI新闻信任的间接效应为0.539（95% CI=[0.461, 0.622]），置信区间不含0，间接效应显著；AI新闻接触频率通过AI技术信任影响AI新闻信任的间接效应为-0.034（95% CI=[-0.058, -0.010]），置信区间不含0，间接效应同样显著。H4得到支持。</w:t>
      </w:r>
    </w:p>
    <w:p w14:paraId="3C9E21F4">
      <w:pPr>
        <w:keepNext w:val="0"/>
        <w:keepLines w:val="0"/>
        <w:spacing w:before="120" w:after="120" w:line="240" w:lineRule="auto"/>
        <w:ind w:firstLine="420"/>
        <w:jc w:val="both"/>
      </w:pPr>
      <w:r>
        <w:rPr>
          <w:rFonts w:ascii="Times New Roman" w:hAnsi="Times New Roman" w:eastAsia="宋体"/>
          <w:b w:val="0"/>
          <w:i w:val="0"/>
          <w:sz w:val="21"/>
        </w:rPr>
        <w:t>值得关注的是，加入中介变量AI技术信任后，AI素养对AI新闻信任的直接效应由正向转为负向（B=-0.317，p&lt;0.001），出现遮掩效应（suppression effect）。这意味着，AI素养对AI新闻信任的正向间接关联，完全经由AI技术信任的中介路径传递；若忽略中介变量、仅观察总效应，AI素养与AI新闻信任之间的关联路径将被误判。这进一步印证了在研究AI新闻信任时区分技术信任与新闻信任两个层次的必要性。</w:t>
      </w:r>
    </w:p>
    <w:p w14:paraId="368C0033">
      <w:pPr>
        <w:pStyle w:val="4"/>
        <w:keepNext/>
        <w:keepLines w:val="0"/>
        <w:spacing w:before="240" w:after="120" w:line="240" w:lineRule="auto"/>
        <w:jc w:val="left"/>
      </w:pPr>
      <w:bookmarkStart w:id="40" w:name="_Toc768974535"/>
      <w:r>
        <w:rPr>
          <w:rFonts w:ascii="Times New Roman" w:hAnsi="Times New Roman" w:eastAsia="黑体"/>
          <w:b/>
          <w:i w:val="0"/>
          <w:color w:val="000000"/>
          <w:sz w:val="30"/>
        </w:rPr>
        <w:t>4.5  有调节的中介效应检验（H5）</w:t>
      </w:r>
      <w:bookmarkEnd w:id="40"/>
    </w:p>
    <w:p w14:paraId="7F4EEDDA">
      <w:pPr>
        <w:keepNext w:val="0"/>
        <w:keepLines w:val="0"/>
        <w:spacing w:before="120" w:after="12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为检验H5，采用PROCESS宏（Model 7，Bootstrap=5000次）检验媒体信任对AI新闻接触频率→AI技术信任路径的调节效应。在纳入交互项之前，对AI新闻接触频率和媒体信任进行均值中心化处理。结果见表4。</w:t>
      </w:r>
    </w:p>
    <w:p w14:paraId="6AB2C757">
      <w:pPr>
        <w:keepNext w:val="0"/>
        <w:keepLines w:val="0"/>
        <w:spacing w:before="120" w:after="120" w:line="240" w:lineRule="auto"/>
        <w:jc w:val="both"/>
        <w:rPr>
          <w:rFonts w:ascii="Times New Roman" w:hAnsi="Times New Roman" w:eastAsia="宋体"/>
          <w:b w:val="0"/>
          <w:i w:val="0"/>
          <w:sz w:val="21"/>
        </w:rPr>
      </w:pPr>
    </w:p>
    <w:p w14:paraId="025CA190">
      <w:pPr>
        <w:spacing w:before="200" w:after="80"/>
        <w:jc w:val="center"/>
        <w:rPr>
          <w:b w:val="0"/>
          <w:bCs w:val="0"/>
          <w:sz w:val="18"/>
          <w:szCs w:val="18"/>
        </w:rPr>
      </w:pPr>
      <w:r>
        <w:rPr>
          <w:rFonts w:ascii="Times New Roman" w:eastAsia="宋体"/>
          <w:b w:val="0"/>
          <w:bCs w:val="0"/>
          <w:sz w:val="18"/>
          <w:szCs w:val="18"/>
        </w:rPr>
        <w:t>表4  媒体信任的调节效应检验：AI新闻接触频率→AI技术信任（n=904）</w:t>
      </w:r>
    </w:p>
    <w:tbl>
      <w:tblPr>
        <w:tblStyle w:val="35"/>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900"/>
        <w:gridCol w:w="900"/>
        <w:gridCol w:w="900"/>
        <w:gridCol w:w="900"/>
        <w:gridCol w:w="1000"/>
      </w:tblGrid>
      <w:tr w14:paraId="6FE859F0">
        <w:trPr>
          <w:jc w:val="center"/>
        </w:trPr>
        <w:tc>
          <w:tcPr>
            <w:tcW w:w="3000" w:type="dxa"/>
            <w:tcBorders>
              <w:top w:val="single" w:color="000000" w:sz="0" w:space="0"/>
              <w:left w:val="nil"/>
              <w:bottom w:val="nil"/>
              <w:right w:val="nil"/>
            </w:tcBorders>
            <w:tcMar>
              <w:top w:w="80" w:type="dxa"/>
              <w:left w:w="120" w:type="dxa"/>
              <w:bottom w:w="80" w:type="dxa"/>
              <w:right w:w="120" w:type="dxa"/>
            </w:tcMar>
            <w:vAlign w:val="center"/>
          </w:tcPr>
          <w:p w14:paraId="778564EF">
            <w:pPr>
              <w:jc w:val="left"/>
            </w:pPr>
            <w:r>
              <w:rPr>
                <w:rFonts w:ascii="Times New Roman" w:eastAsia="宋体"/>
                <w:b/>
                <w:bCs/>
                <w:i w:val="0"/>
                <w:iCs w:val="0"/>
                <w:color w:val="000000"/>
                <w:sz w:val="18"/>
                <w:szCs w:val="18"/>
              </w:rPr>
              <w:t>变量</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75AAE7B4">
            <w:pPr>
              <w:jc w:val="center"/>
            </w:pPr>
            <w:r>
              <w:rPr>
                <w:rFonts w:ascii="Times New Roman" w:eastAsia="宋体"/>
                <w:b/>
                <w:bCs/>
                <w:i w:val="0"/>
                <w:iCs w:val="0"/>
                <w:color w:val="000000"/>
                <w:sz w:val="18"/>
                <w:szCs w:val="18"/>
              </w:rPr>
              <w:t>B</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1B6AA1F5">
            <w:pPr>
              <w:jc w:val="center"/>
            </w:pPr>
            <w:r>
              <w:rPr>
                <w:rFonts w:ascii="Times New Roman" w:eastAsia="宋体"/>
                <w:b/>
                <w:bCs/>
                <w:i w:val="0"/>
                <w:iCs w:val="0"/>
                <w:color w:val="000000"/>
                <w:sz w:val="18"/>
                <w:szCs w:val="18"/>
              </w:rPr>
              <w:t>SE</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4982D40D">
            <w:pPr>
              <w:jc w:val="center"/>
            </w:pPr>
            <w:r>
              <w:rPr>
                <w:rFonts w:ascii="Times New Roman" w:eastAsia="宋体"/>
                <w:b/>
                <w:bCs/>
                <w:i/>
                <w:iCs/>
                <w:color w:val="000000"/>
                <w:sz w:val="18"/>
                <w:szCs w:val="18"/>
              </w:rPr>
              <w:t>β</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1BFDFE90">
            <w:pPr>
              <w:jc w:val="center"/>
            </w:pPr>
            <w:r>
              <w:rPr>
                <w:rFonts w:ascii="Times New Roman" w:eastAsia="宋体"/>
                <w:b/>
                <w:bCs/>
                <w:i/>
                <w:iCs/>
                <w:color w:val="000000"/>
                <w:sz w:val="18"/>
                <w:szCs w:val="18"/>
              </w:rPr>
              <w:t>t</w:t>
            </w:r>
          </w:p>
        </w:tc>
        <w:tc>
          <w:tcPr>
            <w:tcW w:w="1000" w:type="dxa"/>
            <w:tcBorders>
              <w:top w:val="single" w:color="000000" w:sz="0" w:space="0"/>
              <w:left w:val="nil"/>
              <w:bottom w:val="nil"/>
              <w:right w:val="nil"/>
            </w:tcBorders>
            <w:tcMar>
              <w:top w:w="80" w:type="dxa"/>
              <w:left w:w="120" w:type="dxa"/>
              <w:bottom w:w="80" w:type="dxa"/>
              <w:right w:w="120" w:type="dxa"/>
            </w:tcMar>
            <w:vAlign w:val="center"/>
          </w:tcPr>
          <w:p w14:paraId="63C48422">
            <w:pPr>
              <w:jc w:val="center"/>
            </w:pPr>
            <w:r>
              <w:rPr>
                <w:rFonts w:ascii="Times New Roman" w:eastAsia="宋体"/>
                <w:b/>
                <w:bCs/>
                <w:i/>
                <w:iCs/>
                <w:color w:val="000000"/>
                <w:sz w:val="18"/>
                <w:szCs w:val="18"/>
              </w:rPr>
              <w:t>p</w:t>
            </w:r>
          </w:p>
        </w:tc>
      </w:tr>
      <w:tr w14:paraId="3976C7F9">
        <w:trPr>
          <w:jc w:val="center"/>
        </w:trPr>
        <w:tc>
          <w:tcPr>
            <w:tcW w:w="3000" w:type="dxa"/>
            <w:tcBorders>
              <w:top w:val="single" w:color="000000" w:sz="0" w:space="0"/>
              <w:left w:val="nil"/>
              <w:bottom w:val="nil"/>
              <w:right w:val="nil"/>
            </w:tcBorders>
            <w:tcMar>
              <w:top w:w="80" w:type="dxa"/>
              <w:left w:w="120" w:type="dxa"/>
              <w:bottom w:w="80" w:type="dxa"/>
              <w:right w:w="120" w:type="dxa"/>
            </w:tcMar>
            <w:vAlign w:val="center"/>
          </w:tcPr>
          <w:p w14:paraId="7545563E">
            <w:pPr>
              <w:jc w:val="left"/>
            </w:pPr>
            <w:r>
              <w:rPr>
                <w:rFonts w:ascii="Times New Roman" w:eastAsia="宋体"/>
                <w:b/>
                <w:bCs/>
                <w:i w:val="0"/>
                <w:iCs w:val="0"/>
                <w:color w:val="000000"/>
                <w:sz w:val="18"/>
                <w:szCs w:val="18"/>
              </w:rPr>
              <w:t>因变量：AI技术信任</w:t>
            </w: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5EB9730A">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598CAED1">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657E71C1">
            <w:pPr>
              <w:jc w:val="left"/>
            </w:pPr>
          </w:p>
        </w:tc>
        <w:tc>
          <w:tcPr>
            <w:tcW w:w="900" w:type="dxa"/>
            <w:tcBorders>
              <w:top w:val="single" w:color="000000" w:sz="0" w:space="0"/>
              <w:left w:val="nil"/>
              <w:bottom w:val="nil"/>
              <w:right w:val="nil"/>
            </w:tcBorders>
            <w:tcMar>
              <w:top w:w="80" w:type="dxa"/>
              <w:left w:w="120" w:type="dxa"/>
              <w:bottom w:w="80" w:type="dxa"/>
              <w:right w:w="120" w:type="dxa"/>
            </w:tcMar>
            <w:vAlign w:val="center"/>
          </w:tcPr>
          <w:p w14:paraId="01027FBB">
            <w:pPr>
              <w:jc w:val="left"/>
            </w:pPr>
          </w:p>
        </w:tc>
        <w:tc>
          <w:tcPr>
            <w:tcW w:w="1000" w:type="dxa"/>
            <w:tcBorders>
              <w:top w:val="single" w:color="000000" w:sz="0" w:space="0"/>
              <w:left w:val="nil"/>
              <w:bottom w:val="nil"/>
              <w:right w:val="nil"/>
            </w:tcBorders>
            <w:tcMar>
              <w:top w:w="80" w:type="dxa"/>
              <w:left w:w="120" w:type="dxa"/>
              <w:bottom w:w="80" w:type="dxa"/>
              <w:right w:w="120" w:type="dxa"/>
            </w:tcMar>
            <w:vAlign w:val="center"/>
          </w:tcPr>
          <w:p w14:paraId="0DF432D2">
            <w:pPr>
              <w:jc w:val="left"/>
            </w:pPr>
          </w:p>
        </w:tc>
      </w:tr>
      <w:tr w14:paraId="58EA4B17">
        <w:trPr>
          <w:jc w:val="center"/>
        </w:trPr>
        <w:tc>
          <w:tcPr>
            <w:tcW w:w="3000" w:type="dxa"/>
            <w:tcBorders>
              <w:top w:val="nil"/>
              <w:left w:val="nil"/>
              <w:bottom w:val="nil"/>
              <w:right w:val="nil"/>
            </w:tcBorders>
            <w:tcMar>
              <w:top w:w="80" w:type="dxa"/>
              <w:left w:w="120" w:type="dxa"/>
              <w:bottom w:w="80" w:type="dxa"/>
              <w:right w:w="120" w:type="dxa"/>
            </w:tcMar>
            <w:vAlign w:val="center"/>
          </w:tcPr>
          <w:p w14:paraId="1A49B801">
            <w:pPr>
              <w:jc w:val="left"/>
            </w:pPr>
            <w:r>
              <w:rPr>
                <w:rFonts w:ascii="Times New Roman" w:eastAsia="宋体"/>
                <w:b w:val="0"/>
                <w:bCs w:val="0"/>
                <w:i w:val="0"/>
                <w:iCs w:val="0"/>
                <w:color w:val="000000"/>
                <w:sz w:val="18"/>
                <w:szCs w:val="18"/>
              </w:rPr>
              <w:t>AI新闻接触频率（中心化）</w:t>
            </w:r>
          </w:p>
        </w:tc>
        <w:tc>
          <w:tcPr>
            <w:tcW w:w="900" w:type="dxa"/>
            <w:tcBorders>
              <w:top w:val="nil"/>
              <w:left w:val="nil"/>
              <w:bottom w:val="nil"/>
              <w:right w:val="nil"/>
            </w:tcBorders>
            <w:tcMar>
              <w:top w:w="80" w:type="dxa"/>
              <w:left w:w="120" w:type="dxa"/>
              <w:bottom w:w="80" w:type="dxa"/>
              <w:right w:w="120" w:type="dxa"/>
            </w:tcMar>
            <w:vAlign w:val="center"/>
          </w:tcPr>
          <w:p w14:paraId="24FA855C">
            <w:pPr>
              <w:jc w:val="center"/>
            </w:pPr>
            <w:r>
              <w:rPr>
                <w:rFonts w:ascii="Times New Roman" w:eastAsia="宋体"/>
                <w:b w:val="0"/>
                <w:bCs w:val="0"/>
                <w:i w:val="0"/>
                <w:iCs w:val="0"/>
                <w:color w:val="000000"/>
                <w:sz w:val="18"/>
                <w:szCs w:val="18"/>
              </w:rPr>
              <w:t>-0.054</w:t>
            </w:r>
          </w:p>
        </w:tc>
        <w:tc>
          <w:tcPr>
            <w:tcW w:w="900" w:type="dxa"/>
            <w:tcBorders>
              <w:top w:val="nil"/>
              <w:left w:val="nil"/>
              <w:bottom w:val="nil"/>
              <w:right w:val="nil"/>
            </w:tcBorders>
            <w:tcMar>
              <w:top w:w="80" w:type="dxa"/>
              <w:left w:w="120" w:type="dxa"/>
              <w:bottom w:w="80" w:type="dxa"/>
              <w:right w:w="120" w:type="dxa"/>
            </w:tcMar>
            <w:vAlign w:val="center"/>
          </w:tcPr>
          <w:p w14:paraId="361B24AC">
            <w:pPr>
              <w:jc w:val="center"/>
            </w:pPr>
            <w:r>
              <w:rPr>
                <w:rFonts w:ascii="Times New Roman" w:eastAsia="宋体"/>
                <w:b w:val="0"/>
                <w:bCs w:val="0"/>
                <w:i w:val="0"/>
                <w:iCs w:val="0"/>
                <w:color w:val="000000"/>
                <w:sz w:val="18"/>
                <w:szCs w:val="18"/>
              </w:rPr>
              <w:t>0.011</w:t>
            </w:r>
          </w:p>
        </w:tc>
        <w:tc>
          <w:tcPr>
            <w:tcW w:w="900" w:type="dxa"/>
            <w:tcBorders>
              <w:top w:val="nil"/>
              <w:left w:val="nil"/>
              <w:bottom w:val="nil"/>
              <w:right w:val="nil"/>
            </w:tcBorders>
            <w:tcMar>
              <w:top w:w="80" w:type="dxa"/>
              <w:left w:w="120" w:type="dxa"/>
              <w:bottom w:w="80" w:type="dxa"/>
              <w:right w:w="120" w:type="dxa"/>
            </w:tcMar>
            <w:vAlign w:val="center"/>
          </w:tcPr>
          <w:p w14:paraId="424153E4">
            <w:pPr>
              <w:jc w:val="center"/>
            </w:pPr>
            <w:r>
              <w:rPr>
                <w:rFonts w:ascii="Times New Roman" w:eastAsia="宋体"/>
                <w:b w:val="0"/>
                <w:bCs w:val="0"/>
                <w:i w:val="0"/>
                <w:iCs w:val="0"/>
                <w:color w:val="000000"/>
                <w:sz w:val="18"/>
                <w:szCs w:val="18"/>
              </w:rPr>
              <w:t>-0.123</w:t>
            </w:r>
          </w:p>
        </w:tc>
        <w:tc>
          <w:tcPr>
            <w:tcW w:w="900" w:type="dxa"/>
            <w:tcBorders>
              <w:top w:val="nil"/>
              <w:left w:val="nil"/>
              <w:bottom w:val="nil"/>
              <w:right w:val="nil"/>
            </w:tcBorders>
            <w:tcMar>
              <w:top w:w="80" w:type="dxa"/>
              <w:left w:w="120" w:type="dxa"/>
              <w:bottom w:w="80" w:type="dxa"/>
              <w:right w:w="120" w:type="dxa"/>
            </w:tcMar>
            <w:vAlign w:val="center"/>
          </w:tcPr>
          <w:p w14:paraId="2365D27D">
            <w:pPr>
              <w:jc w:val="center"/>
            </w:pPr>
            <w:r>
              <w:rPr>
                <w:rFonts w:ascii="Times New Roman" w:eastAsia="宋体"/>
                <w:b w:val="0"/>
                <w:bCs w:val="0"/>
                <w:i w:val="0"/>
                <w:iCs w:val="0"/>
                <w:color w:val="000000"/>
                <w:sz w:val="18"/>
                <w:szCs w:val="18"/>
              </w:rPr>
              <w:t>-4.808</w:t>
            </w:r>
          </w:p>
        </w:tc>
        <w:tc>
          <w:tcPr>
            <w:tcW w:w="1000" w:type="dxa"/>
            <w:tcBorders>
              <w:top w:val="nil"/>
              <w:left w:val="nil"/>
              <w:bottom w:val="nil"/>
              <w:right w:val="nil"/>
            </w:tcBorders>
            <w:tcMar>
              <w:top w:w="80" w:type="dxa"/>
              <w:left w:w="120" w:type="dxa"/>
              <w:bottom w:w="80" w:type="dxa"/>
              <w:right w:w="120" w:type="dxa"/>
            </w:tcMar>
            <w:vAlign w:val="center"/>
          </w:tcPr>
          <w:p w14:paraId="66D623E3">
            <w:pPr>
              <w:jc w:val="center"/>
            </w:pPr>
            <w:r>
              <w:rPr>
                <w:rFonts w:ascii="Times New Roman" w:eastAsia="宋体"/>
                <w:b w:val="0"/>
                <w:bCs w:val="0"/>
                <w:i w:val="0"/>
                <w:iCs w:val="0"/>
                <w:color w:val="000000"/>
                <w:sz w:val="18"/>
                <w:szCs w:val="18"/>
              </w:rPr>
              <w:t>&lt;0.001</w:t>
            </w:r>
          </w:p>
        </w:tc>
      </w:tr>
      <w:tr w14:paraId="521BF136">
        <w:trPr>
          <w:jc w:val="center"/>
        </w:trPr>
        <w:tc>
          <w:tcPr>
            <w:tcW w:w="3000" w:type="dxa"/>
            <w:tcBorders>
              <w:top w:val="nil"/>
              <w:left w:val="nil"/>
              <w:bottom w:val="nil"/>
              <w:right w:val="nil"/>
            </w:tcBorders>
            <w:tcMar>
              <w:top w:w="80" w:type="dxa"/>
              <w:left w:w="120" w:type="dxa"/>
              <w:bottom w:w="80" w:type="dxa"/>
              <w:right w:w="120" w:type="dxa"/>
            </w:tcMar>
            <w:vAlign w:val="center"/>
          </w:tcPr>
          <w:p w14:paraId="73A1E1A3">
            <w:pPr>
              <w:jc w:val="left"/>
            </w:pPr>
            <w:r>
              <w:rPr>
                <w:rFonts w:ascii="Times New Roman" w:eastAsia="宋体"/>
                <w:b w:val="0"/>
                <w:bCs w:val="0"/>
                <w:i w:val="0"/>
                <w:iCs w:val="0"/>
                <w:color w:val="000000"/>
                <w:sz w:val="18"/>
                <w:szCs w:val="18"/>
              </w:rPr>
              <w:t>媒体信任（W，中心化）</w:t>
            </w:r>
          </w:p>
        </w:tc>
        <w:tc>
          <w:tcPr>
            <w:tcW w:w="900" w:type="dxa"/>
            <w:tcBorders>
              <w:top w:val="nil"/>
              <w:left w:val="nil"/>
              <w:bottom w:val="nil"/>
              <w:right w:val="nil"/>
            </w:tcBorders>
            <w:tcMar>
              <w:top w:w="80" w:type="dxa"/>
              <w:left w:w="120" w:type="dxa"/>
              <w:bottom w:w="80" w:type="dxa"/>
              <w:right w:w="120" w:type="dxa"/>
            </w:tcMar>
            <w:vAlign w:val="center"/>
          </w:tcPr>
          <w:p w14:paraId="5F72CCC0">
            <w:pPr>
              <w:jc w:val="center"/>
            </w:pPr>
            <w:r>
              <w:rPr>
                <w:rFonts w:ascii="Times New Roman" w:eastAsia="宋体"/>
                <w:b w:val="0"/>
                <w:bCs w:val="0"/>
                <w:i w:val="0"/>
                <w:iCs w:val="0"/>
                <w:color w:val="000000"/>
                <w:sz w:val="18"/>
                <w:szCs w:val="18"/>
              </w:rPr>
              <w:t>0.575</w:t>
            </w:r>
          </w:p>
        </w:tc>
        <w:tc>
          <w:tcPr>
            <w:tcW w:w="900" w:type="dxa"/>
            <w:tcBorders>
              <w:top w:val="nil"/>
              <w:left w:val="nil"/>
              <w:bottom w:val="nil"/>
              <w:right w:val="nil"/>
            </w:tcBorders>
            <w:tcMar>
              <w:top w:w="80" w:type="dxa"/>
              <w:left w:w="120" w:type="dxa"/>
              <w:bottom w:w="80" w:type="dxa"/>
              <w:right w:w="120" w:type="dxa"/>
            </w:tcMar>
            <w:vAlign w:val="center"/>
          </w:tcPr>
          <w:p w14:paraId="5331FF17">
            <w:pPr>
              <w:jc w:val="center"/>
            </w:pPr>
            <w:r>
              <w:rPr>
                <w:rFonts w:ascii="Times New Roman" w:eastAsia="宋体"/>
                <w:b w:val="0"/>
                <w:bCs w:val="0"/>
                <w:i w:val="0"/>
                <w:iCs w:val="0"/>
                <w:color w:val="000000"/>
                <w:sz w:val="18"/>
                <w:szCs w:val="18"/>
              </w:rPr>
              <w:t>0.024</w:t>
            </w:r>
          </w:p>
        </w:tc>
        <w:tc>
          <w:tcPr>
            <w:tcW w:w="900" w:type="dxa"/>
            <w:tcBorders>
              <w:top w:val="nil"/>
              <w:left w:val="nil"/>
              <w:bottom w:val="nil"/>
              <w:right w:val="nil"/>
            </w:tcBorders>
            <w:tcMar>
              <w:top w:w="80" w:type="dxa"/>
              <w:left w:w="120" w:type="dxa"/>
              <w:bottom w:w="80" w:type="dxa"/>
              <w:right w:w="120" w:type="dxa"/>
            </w:tcMar>
            <w:vAlign w:val="center"/>
          </w:tcPr>
          <w:p w14:paraId="0AFDD4BA">
            <w:pPr>
              <w:jc w:val="center"/>
            </w:pPr>
            <w:r>
              <w:rPr>
                <w:rFonts w:ascii="Times New Roman" w:eastAsia="宋体"/>
                <w:b w:val="0"/>
                <w:bCs w:val="0"/>
                <w:i w:val="0"/>
                <w:iCs w:val="0"/>
                <w:color w:val="000000"/>
                <w:sz w:val="18"/>
                <w:szCs w:val="18"/>
              </w:rPr>
              <w:t>0.621</w:t>
            </w:r>
          </w:p>
        </w:tc>
        <w:tc>
          <w:tcPr>
            <w:tcW w:w="900" w:type="dxa"/>
            <w:tcBorders>
              <w:top w:val="nil"/>
              <w:left w:val="nil"/>
              <w:bottom w:val="nil"/>
              <w:right w:val="nil"/>
            </w:tcBorders>
            <w:tcMar>
              <w:top w:w="80" w:type="dxa"/>
              <w:left w:w="120" w:type="dxa"/>
              <w:bottom w:w="80" w:type="dxa"/>
              <w:right w:w="120" w:type="dxa"/>
            </w:tcMar>
            <w:vAlign w:val="center"/>
          </w:tcPr>
          <w:p w14:paraId="606B313E">
            <w:pPr>
              <w:jc w:val="center"/>
            </w:pPr>
            <w:r>
              <w:rPr>
                <w:rFonts w:ascii="Times New Roman" w:eastAsia="宋体"/>
                <w:b w:val="0"/>
                <w:bCs w:val="0"/>
                <w:i w:val="0"/>
                <w:iCs w:val="0"/>
                <w:color w:val="000000"/>
                <w:sz w:val="18"/>
                <w:szCs w:val="18"/>
              </w:rPr>
              <w:t>24.175</w:t>
            </w:r>
          </w:p>
        </w:tc>
        <w:tc>
          <w:tcPr>
            <w:tcW w:w="1000" w:type="dxa"/>
            <w:tcBorders>
              <w:top w:val="nil"/>
              <w:left w:val="nil"/>
              <w:bottom w:val="nil"/>
              <w:right w:val="nil"/>
            </w:tcBorders>
            <w:tcMar>
              <w:top w:w="80" w:type="dxa"/>
              <w:left w:w="120" w:type="dxa"/>
              <w:bottom w:w="80" w:type="dxa"/>
              <w:right w:w="120" w:type="dxa"/>
            </w:tcMar>
            <w:vAlign w:val="center"/>
          </w:tcPr>
          <w:p w14:paraId="06536559">
            <w:pPr>
              <w:jc w:val="center"/>
            </w:pPr>
            <w:r>
              <w:rPr>
                <w:rFonts w:ascii="Times New Roman" w:eastAsia="宋体"/>
                <w:b w:val="0"/>
                <w:bCs w:val="0"/>
                <w:i w:val="0"/>
                <w:iCs w:val="0"/>
                <w:color w:val="000000"/>
                <w:sz w:val="18"/>
                <w:szCs w:val="18"/>
              </w:rPr>
              <w:t>&lt;0.001</w:t>
            </w:r>
          </w:p>
        </w:tc>
      </w:tr>
      <w:tr w14:paraId="20B416FB">
        <w:trPr>
          <w:jc w:val="center"/>
        </w:trPr>
        <w:tc>
          <w:tcPr>
            <w:tcW w:w="3000" w:type="dxa"/>
            <w:tcBorders>
              <w:top w:val="nil"/>
              <w:left w:val="nil"/>
              <w:bottom w:val="nil"/>
              <w:right w:val="nil"/>
            </w:tcBorders>
            <w:tcMar>
              <w:top w:w="80" w:type="dxa"/>
              <w:left w:w="120" w:type="dxa"/>
              <w:bottom w:w="80" w:type="dxa"/>
              <w:right w:w="120" w:type="dxa"/>
            </w:tcMar>
            <w:vAlign w:val="center"/>
          </w:tcPr>
          <w:p w14:paraId="7B8BD9AA">
            <w:pPr>
              <w:jc w:val="left"/>
            </w:pPr>
            <w:r>
              <w:rPr>
                <w:rFonts w:ascii="Times New Roman" w:eastAsia="宋体"/>
                <w:b/>
                <w:bCs/>
                <w:i w:val="0"/>
                <w:iCs w:val="0"/>
                <w:color w:val="000000"/>
                <w:sz w:val="18"/>
                <w:szCs w:val="18"/>
              </w:rPr>
              <w:t>AI新闻接触频率 × 媒体信任（交互项）</w:t>
            </w:r>
          </w:p>
        </w:tc>
        <w:tc>
          <w:tcPr>
            <w:tcW w:w="900" w:type="dxa"/>
            <w:tcBorders>
              <w:top w:val="nil"/>
              <w:left w:val="nil"/>
              <w:bottom w:val="nil"/>
              <w:right w:val="nil"/>
            </w:tcBorders>
            <w:tcMar>
              <w:top w:w="80" w:type="dxa"/>
              <w:left w:w="120" w:type="dxa"/>
              <w:bottom w:w="80" w:type="dxa"/>
              <w:right w:w="120" w:type="dxa"/>
            </w:tcMar>
            <w:vAlign w:val="center"/>
          </w:tcPr>
          <w:p w14:paraId="633FA308">
            <w:pPr>
              <w:jc w:val="center"/>
            </w:pPr>
            <w:r>
              <w:rPr>
                <w:rFonts w:ascii="Times New Roman" w:eastAsia="宋体"/>
                <w:b/>
                <w:bCs/>
                <w:i w:val="0"/>
                <w:iCs w:val="0"/>
                <w:color w:val="000000"/>
                <w:sz w:val="18"/>
                <w:szCs w:val="18"/>
              </w:rPr>
              <w:t>-0.061</w:t>
            </w:r>
          </w:p>
        </w:tc>
        <w:tc>
          <w:tcPr>
            <w:tcW w:w="900" w:type="dxa"/>
            <w:tcBorders>
              <w:top w:val="nil"/>
              <w:left w:val="nil"/>
              <w:bottom w:val="nil"/>
              <w:right w:val="nil"/>
            </w:tcBorders>
            <w:tcMar>
              <w:top w:w="80" w:type="dxa"/>
              <w:left w:w="120" w:type="dxa"/>
              <w:bottom w:w="80" w:type="dxa"/>
              <w:right w:w="120" w:type="dxa"/>
            </w:tcMar>
            <w:vAlign w:val="center"/>
          </w:tcPr>
          <w:p w14:paraId="74F8CE88">
            <w:pPr>
              <w:jc w:val="center"/>
            </w:pPr>
            <w:r>
              <w:rPr>
                <w:rFonts w:ascii="Times New Roman" w:eastAsia="宋体"/>
                <w:b/>
                <w:bCs/>
                <w:i w:val="0"/>
                <w:iCs w:val="0"/>
                <w:color w:val="000000"/>
                <w:sz w:val="18"/>
                <w:szCs w:val="18"/>
              </w:rPr>
              <w:t>0.020</w:t>
            </w:r>
          </w:p>
        </w:tc>
        <w:tc>
          <w:tcPr>
            <w:tcW w:w="900" w:type="dxa"/>
            <w:tcBorders>
              <w:top w:val="nil"/>
              <w:left w:val="nil"/>
              <w:bottom w:val="nil"/>
              <w:right w:val="nil"/>
            </w:tcBorders>
            <w:tcMar>
              <w:top w:w="80" w:type="dxa"/>
              <w:left w:w="120" w:type="dxa"/>
              <w:bottom w:w="80" w:type="dxa"/>
              <w:right w:w="120" w:type="dxa"/>
            </w:tcMar>
            <w:vAlign w:val="center"/>
          </w:tcPr>
          <w:p w14:paraId="74DBFA01">
            <w:pPr>
              <w:jc w:val="center"/>
            </w:pPr>
            <w:r>
              <w:rPr>
                <w:rFonts w:ascii="Times New Roman" w:eastAsia="宋体"/>
                <w:b/>
                <w:bCs/>
                <w:i w:val="0"/>
                <w:iCs w:val="0"/>
                <w:color w:val="000000"/>
                <w:sz w:val="18"/>
                <w:szCs w:val="18"/>
              </w:rPr>
              <w:t>-0.078</w:t>
            </w:r>
          </w:p>
        </w:tc>
        <w:tc>
          <w:tcPr>
            <w:tcW w:w="900" w:type="dxa"/>
            <w:tcBorders>
              <w:top w:val="nil"/>
              <w:left w:val="nil"/>
              <w:bottom w:val="nil"/>
              <w:right w:val="nil"/>
            </w:tcBorders>
            <w:tcMar>
              <w:top w:w="80" w:type="dxa"/>
              <w:left w:w="120" w:type="dxa"/>
              <w:bottom w:w="80" w:type="dxa"/>
              <w:right w:w="120" w:type="dxa"/>
            </w:tcMar>
            <w:vAlign w:val="center"/>
          </w:tcPr>
          <w:p w14:paraId="30490B71">
            <w:pPr>
              <w:jc w:val="center"/>
            </w:pPr>
            <w:r>
              <w:rPr>
                <w:rFonts w:ascii="Times New Roman" w:eastAsia="宋体"/>
                <w:b/>
                <w:bCs/>
                <w:i w:val="0"/>
                <w:iCs w:val="0"/>
                <w:color w:val="000000"/>
                <w:sz w:val="18"/>
                <w:szCs w:val="18"/>
              </w:rPr>
              <w:t>-3.042</w:t>
            </w:r>
          </w:p>
        </w:tc>
        <w:tc>
          <w:tcPr>
            <w:tcW w:w="1000" w:type="dxa"/>
            <w:tcBorders>
              <w:top w:val="nil"/>
              <w:left w:val="nil"/>
              <w:bottom w:val="nil"/>
              <w:right w:val="nil"/>
            </w:tcBorders>
            <w:tcMar>
              <w:top w:w="80" w:type="dxa"/>
              <w:left w:w="120" w:type="dxa"/>
              <w:bottom w:w="80" w:type="dxa"/>
              <w:right w:w="120" w:type="dxa"/>
            </w:tcMar>
            <w:vAlign w:val="center"/>
          </w:tcPr>
          <w:p w14:paraId="34ABC32D">
            <w:pPr>
              <w:jc w:val="center"/>
            </w:pPr>
            <w:r>
              <w:rPr>
                <w:rFonts w:ascii="Times New Roman" w:eastAsia="宋体"/>
                <w:b/>
                <w:bCs/>
                <w:i w:val="0"/>
                <w:iCs w:val="0"/>
                <w:color w:val="000000"/>
                <w:sz w:val="18"/>
                <w:szCs w:val="18"/>
              </w:rPr>
              <w:t>0.002</w:t>
            </w:r>
          </w:p>
        </w:tc>
      </w:tr>
      <w:tr w14:paraId="1DB4975F">
        <w:trPr>
          <w:jc w:val="center"/>
        </w:trPr>
        <w:tc>
          <w:tcPr>
            <w:tcW w:w="3000" w:type="dxa"/>
            <w:tcBorders>
              <w:top w:val="nil"/>
              <w:left w:val="nil"/>
              <w:bottom w:val="single" w:color="000000" w:sz="0" w:space="0"/>
              <w:right w:val="nil"/>
            </w:tcBorders>
            <w:tcMar>
              <w:top w:w="80" w:type="dxa"/>
              <w:left w:w="120" w:type="dxa"/>
              <w:bottom w:w="80" w:type="dxa"/>
              <w:right w:w="120" w:type="dxa"/>
            </w:tcMar>
            <w:vAlign w:val="center"/>
          </w:tcPr>
          <w:p w14:paraId="62B1EE03">
            <w:pPr>
              <w:jc w:val="left"/>
            </w:pPr>
            <w:r>
              <w:rPr>
                <w:rFonts w:ascii="Times New Roman" w:eastAsia="宋体"/>
                <w:b w:val="0"/>
                <w:bCs w:val="0"/>
                <w:i w:val="0"/>
                <w:iCs w:val="0"/>
                <w:color w:val="000000"/>
                <w:sz w:val="18"/>
                <w:szCs w:val="18"/>
              </w:rPr>
              <w:t>R²=0.419</w:t>
            </w: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260D19C1">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043701DD">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4C44C914">
            <w:pPr>
              <w:jc w:val="left"/>
            </w:pPr>
          </w:p>
        </w:tc>
        <w:tc>
          <w:tcPr>
            <w:tcW w:w="900" w:type="dxa"/>
            <w:tcBorders>
              <w:top w:val="nil"/>
              <w:left w:val="nil"/>
              <w:bottom w:val="single" w:color="000000" w:sz="0" w:space="0"/>
              <w:right w:val="nil"/>
            </w:tcBorders>
            <w:tcMar>
              <w:top w:w="80" w:type="dxa"/>
              <w:left w:w="120" w:type="dxa"/>
              <w:bottom w:w="80" w:type="dxa"/>
              <w:right w:w="120" w:type="dxa"/>
            </w:tcMar>
            <w:vAlign w:val="center"/>
          </w:tcPr>
          <w:p w14:paraId="17E9D136">
            <w:pPr>
              <w:jc w:val="left"/>
            </w:pPr>
          </w:p>
        </w:tc>
        <w:tc>
          <w:tcPr>
            <w:tcW w:w="1000" w:type="dxa"/>
            <w:tcBorders>
              <w:top w:val="nil"/>
              <w:left w:val="nil"/>
              <w:bottom w:val="single" w:color="000000" w:sz="0" w:space="0"/>
              <w:right w:val="nil"/>
            </w:tcBorders>
            <w:tcMar>
              <w:top w:w="80" w:type="dxa"/>
              <w:left w:w="120" w:type="dxa"/>
              <w:bottom w:w="80" w:type="dxa"/>
              <w:right w:w="120" w:type="dxa"/>
            </w:tcMar>
            <w:vAlign w:val="center"/>
          </w:tcPr>
          <w:p w14:paraId="24F30403">
            <w:pPr>
              <w:jc w:val="left"/>
            </w:pPr>
          </w:p>
        </w:tc>
      </w:tr>
    </w:tbl>
    <w:p w14:paraId="70A25429">
      <w:pPr>
        <w:spacing w:before="60" w:after="160"/>
      </w:pPr>
      <w:r>
        <w:rPr>
          <w:rFonts w:ascii="Times New Roman" w:eastAsia="宋体"/>
          <w:i/>
          <w:iCs/>
          <w:color w:val="555555"/>
          <w:sz w:val="18"/>
          <w:szCs w:val="18"/>
        </w:rPr>
        <w:t>注：交互项系数显著（p=0.002），调节效应成立；控制变量已纳入但未在表中报告。</w:t>
      </w:r>
    </w:p>
    <w:p w14:paraId="317D04B5">
      <w:pPr>
        <w:keepNext w:val="0"/>
        <w:keepLines w:val="0"/>
        <w:spacing w:before="120" w:after="120" w:line="240" w:lineRule="auto"/>
        <w:ind w:firstLine="420"/>
        <w:jc w:val="both"/>
      </w:pPr>
      <w:r>
        <w:rPr>
          <w:rFonts w:ascii="Times New Roman" w:hAnsi="Times New Roman" w:eastAsia="宋体"/>
          <w:b w:val="0"/>
          <w:i w:val="0"/>
          <w:sz w:val="21"/>
        </w:rPr>
        <w:t>表4结果显示，媒体信任与AI新闻接触频率的交互项对AI技术信任具有显著负向影响（B=-0.061，β=-0.078，p=0.002），H5得到支持。这表明媒体信任对AI新闻接触频率→AI技术信任的负向路径具有显著的调节作用：媒体信任越高，AI新闻接触频率对AI技术信任的负向效应越强。</w:t>
      </w:r>
    </w:p>
    <w:p w14:paraId="5A438DBB">
      <w:pPr>
        <w:keepNext w:val="0"/>
        <w:keepLines w:val="0"/>
        <w:spacing w:before="120" w:after="12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为进一步呈现调节效应的方向与强度，进行简单斜率分析，分别计算在媒体信任高（均值+1SD）和低（均值-1SD）条件下AI新闻接触频率对AI技术信任的简单斜率。结果如图2所示：在高媒体信任条件下，AI新闻接触频率对AI技术信任的负向斜率为-0.086（p&lt;0.001）；在低媒体信任条件下，负向斜率降至-0.023（p=0.147，不显著）。这一模式表明，AI新闻接触频率对AI技术信任的负向效应主要存在于媒体信任较高的受众群体中，对媒体信任较低的受众而言，接触AI新闻并不会显著动摇其对AI技术的信任。</w:t>
      </w:r>
    </w:p>
    <w:p w14:paraId="59F1E333">
      <w:pPr>
        <w:keepNext w:val="0"/>
        <w:keepLines w:val="0"/>
        <w:spacing w:before="120" w:after="120" w:line="240" w:lineRule="auto"/>
        <w:ind w:firstLine="420"/>
        <w:jc w:val="both"/>
        <w:rPr>
          <w:rFonts w:ascii="Times New Roman" w:hAnsi="Times New Roman" w:eastAsia="宋体"/>
          <w:b w:val="0"/>
          <w:i w:val="0"/>
          <w:sz w:val="21"/>
        </w:rPr>
      </w:pPr>
    </w:p>
    <w:p w14:paraId="13A4715B">
      <w:pPr>
        <w:pStyle w:val="15"/>
        <w:keepNext w:val="0"/>
        <w:keepLines w:val="0"/>
        <w:spacing w:before="120" w:after="120"/>
        <w:jc w:val="center"/>
        <w:rPr>
          <w:rFonts w:hint="eastAsia" w:ascii="宋体" w:hAnsi="宋体" w:eastAsia="宋体" w:cs="宋体"/>
          <w:b w:val="0"/>
          <w:bCs w:val="0"/>
          <w:color w:val="auto"/>
          <w:lang w:val="en-US"/>
        </w:rPr>
      </w:pPr>
      <w:r>
        <w:rPr>
          <w:rFonts w:hint="eastAsia" w:ascii="宋体" w:hAnsi="宋体" w:eastAsia="宋体" w:cs="宋体"/>
          <w:b w:val="0"/>
          <w:bCs w:val="0"/>
          <w:color w:val="auto"/>
        </w:rPr>
        <w:t xml:space="preserve">图 </w:t>
      </w:r>
      <w:r>
        <w:rPr>
          <w:rFonts w:hint="eastAsia" w:ascii="宋体" w:hAnsi="宋体" w:eastAsia="宋体" w:cs="宋体"/>
          <w:b w:val="0"/>
          <w:bCs w:val="0"/>
          <w:color w:val="auto"/>
        </w:rPr>
        <w:fldChar w:fldCharType="begin"/>
      </w:r>
      <w:r>
        <w:rPr>
          <w:rFonts w:hint="eastAsia" w:ascii="宋体" w:hAnsi="宋体" w:eastAsia="宋体" w:cs="宋体"/>
          <w:b w:val="0"/>
          <w:bCs w:val="0"/>
          <w:color w:val="auto"/>
        </w:rPr>
        <w:instrText xml:space="preserve"> SEQ 图 \* ARABIC </w:instrText>
      </w:r>
      <w:r>
        <w:rPr>
          <w:rFonts w:hint="eastAsia" w:ascii="宋体" w:hAnsi="宋体" w:eastAsia="宋体" w:cs="宋体"/>
          <w:b w:val="0"/>
          <w:bCs w:val="0"/>
          <w:color w:val="auto"/>
        </w:rPr>
        <w:fldChar w:fldCharType="separate"/>
      </w:r>
      <w:r>
        <w:rPr>
          <w:rFonts w:hint="eastAsia" w:ascii="宋体" w:hAnsi="宋体" w:eastAsia="宋体" w:cs="宋体"/>
          <w:b w:val="0"/>
          <w:bCs w:val="0"/>
          <w:color w:val="auto"/>
        </w:rPr>
        <w:t>2</w:t>
      </w:r>
      <w:r>
        <w:rPr>
          <w:rFonts w:hint="eastAsia" w:ascii="宋体" w:hAnsi="宋体" w:eastAsia="宋体" w:cs="宋体"/>
          <w:b w:val="0"/>
          <w:bCs w:val="0"/>
          <w:color w:val="auto"/>
        </w:rPr>
        <w:fldChar w:fldCharType="end"/>
      </w:r>
      <w:r>
        <w:rPr>
          <w:rFonts w:hint="eastAsia" w:ascii="宋体" w:hAnsi="宋体" w:eastAsia="宋体" w:cs="宋体"/>
          <w:b w:val="0"/>
          <w:bCs w:val="0"/>
          <w:color w:val="auto"/>
          <w:lang w:val="en-US"/>
        </w:rPr>
        <w:t xml:space="preserve"> 媒体信任调节AI新闻接触频率→AI技术信任的简单斜率图</w:t>
      </w:r>
    </w:p>
    <w:p w14:paraId="626E2B83">
      <w:pPr>
        <w:keepNext w:val="0"/>
        <w:keepLines w:val="0"/>
        <w:spacing w:before="120" w:after="120"/>
        <w:jc w:val="center"/>
      </w:pPr>
      <w:r>
        <w:drawing>
          <wp:inline distT="0" distB="0" distL="114300" distR="114300">
            <wp:extent cx="3475355" cy="2564130"/>
            <wp:effectExtent l="0" t="0" r="444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t="5917"/>
                    <a:stretch>
                      <a:fillRect/>
                    </a:stretch>
                  </pic:blipFill>
                  <pic:spPr>
                    <a:xfrm>
                      <a:off x="0" y="0"/>
                      <a:ext cx="3475355" cy="2564130"/>
                    </a:xfrm>
                    <a:prstGeom prst="rect">
                      <a:avLst/>
                    </a:prstGeom>
                    <a:noFill/>
                    <a:ln>
                      <a:noFill/>
                    </a:ln>
                  </pic:spPr>
                </pic:pic>
              </a:graphicData>
            </a:graphic>
          </wp:inline>
        </w:drawing>
      </w:r>
    </w:p>
    <w:p w14:paraId="28BE0942">
      <w:pPr>
        <w:pStyle w:val="4"/>
        <w:keepNext/>
        <w:keepLines w:val="0"/>
        <w:spacing w:before="240" w:after="120" w:line="240" w:lineRule="auto"/>
        <w:jc w:val="left"/>
        <w:rPr>
          <w:rFonts w:ascii="Times New Roman" w:hAnsi="Times New Roman" w:eastAsia="黑体"/>
          <w:b/>
          <w:i w:val="0"/>
          <w:color w:val="000000"/>
          <w:sz w:val="30"/>
        </w:rPr>
      </w:pPr>
    </w:p>
    <w:p w14:paraId="1438E028">
      <w:pPr>
        <w:pStyle w:val="4"/>
        <w:keepNext/>
        <w:keepLines w:val="0"/>
        <w:spacing w:before="240" w:after="120" w:line="240" w:lineRule="auto"/>
        <w:jc w:val="left"/>
      </w:pPr>
      <w:bookmarkStart w:id="41" w:name="_Toc598422099"/>
      <w:r>
        <w:rPr>
          <w:rFonts w:ascii="Times New Roman" w:hAnsi="Times New Roman" w:eastAsia="黑体"/>
          <w:b/>
          <w:i w:val="0"/>
          <w:color w:val="000000"/>
          <w:sz w:val="30"/>
        </w:rPr>
        <w:t>4.6  研究结果小结</w:t>
      </w:r>
      <w:bookmarkEnd w:id="41"/>
    </w:p>
    <w:p w14:paraId="0CFD0C46">
      <w:pPr>
        <w:keepNext w:val="0"/>
        <w:keepLines w:val="0"/>
        <w:spacing w:before="120" w:after="120" w:line="240" w:lineRule="auto"/>
        <w:ind w:firstLine="420"/>
        <w:jc w:val="both"/>
      </w:pPr>
      <w:r>
        <w:rPr>
          <w:rFonts w:ascii="Times New Roman" w:hAnsi="Times New Roman" w:eastAsia="宋体"/>
          <w:b w:val="0"/>
          <w:i w:val="0"/>
          <w:sz w:val="21"/>
        </w:rPr>
        <w:t>综合上述分析，本研究五项假设的验证情况如表5所示。</w:t>
      </w:r>
    </w:p>
    <w:p w14:paraId="2ACC9D8D">
      <w:pPr>
        <w:spacing w:before="200" w:after="80"/>
        <w:jc w:val="center"/>
        <w:rPr>
          <w:b w:val="0"/>
          <w:bCs w:val="0"/>
          <w:sz w:val="18"/>
          <w:szCs w:val="18"/>
        </w:rPr>
      </w:pPr>
      <w:r>
        <w:rPr>
          <w:rFonts w:ascii="Times New Roman" w:eastAsia="宋体"/>
          <w:b w:val="0"/>
          <w:bCs w:val="0"/>
          <w:sz w:val="18"/>
          <w:szCs w:val="18"/>
        </w:rPr>
        <w:t>表5  研究假设验证情况汇总</w:t>
      </w:r>
    </w:p>
    <w:tbl>
      <w:tblPr>
        <w:tblStyle w:val="35"/>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600"/>
        <w:gridCol w:w="1600"/>
        <w:gridCol w:w="1200"/>
      </w:tblGrid>
      <w:tr w14:paraId="536C6454">
        <w:trPr>
          <w:jc w:val="center"/>
        </w:trPr>
        <w:tc>
          <w:tcPr>
            <w:tcW w:w="6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61FE8231">
            <w:pPr>
              <w:jc w:val="center"/>
            </w:pPr>
            <w:r>
              <w:rPr>
                <w:rFonts w:ascii="Times New Roman" w:eastAsia="宋体"/>
                <w:b/>
                <w:bCs/>
                <w:i w:val="0"/>
                <w:iCs w:val="0"/>
                <w:color w:val="000000"/>
                <w:sz w:val="18"/>
                <w:szCs w:val="18"/>
              </w:rPr>
              <w:t>编号</w:t>
            </w:r>
          </w:p>
        </w:tc>
        <w:tc>
          <w:tcPr>
            <w:tcW w:w="46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3AD47960">
            <w:pPr>
              <w:jc w:val="center"/>
            </w:pPr>
            <w:r>
              <w:rPr>
                <w:rFonts w:ascii="Times New Roman" w:eastAsia="宋体"/>
                <w:b/>
                <w:bCs/>
                <w:i w:val="0"/>
                <w:iCs w:val="0"/>
                <w:color w:val="000000"/>
                <w:sz w:val="18"/>
                <w:szCs w:val="18"/>
              </w:rPr>
              <w:t>假设内容</w:t>
            </w:r>
          </w:p>
        </w:tc>
        <w:tc>
          <w:tcPr>
            <w:tcW w:w="16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3950A62B">
            <w:pPr>
              <w:jc w:val="center"/>
            </w:pPr>
            <w:r>
              <w:rPr>
                <w:rFonts w:ascii="Times New Roman" w:eastAsia="宋体"/>
                <w:b/>
                <w:bCs/>
                <w:i w:val="0"/>
                <w:iCs w:val="0"/>
                <w:color w:val="000000"/>
                <w:sz w:val="18"/>
                <w:szCs w:val="18"/>
              </w:rPr>
              <w:t>关键统计量</w:t>
            </w:r>
          </w:p>
        </w:tc>
        <w:tc>
          <w:tcPr>
            <w:tcW w:w="1200" w:type="dxa"/>
            <w:tcBorders>
              <w:top w:val="single" w:color="000000" w:sz="0" w:space="0"/>
              <w:left w:val="single" w:color="000000" w:sz="0" w:space="0"/>
              <w:bottom w:val="single" w:color="000000" w:sz="0" w:space="0"/>
              <w:right w:val="single" w:color="000000" w:sz="0" w:space="0"/>
            </w:tcBorders>
            <w:shd w:val="clear" w:color="auto" w:fill="F0F0F0"/>
            <w:tcMar>
              <w:top w:w="80" w:type="dxa"/>
              <w:left w:w="120" w:type="dxa"/>
              <w:bottom w:w="80" w:type="dxa"/>
              <w:right w:w="120" w:type="dxa"/>
            </w:tcMar>
            <w:vAlign w:val="center"/>
          </w:tcPr>
          <w:p w14:paraId="7AFCA984">
            <w:pPr>
              <w:jc w:val="center"/>
            </w:pPr>
            <w:r>
              <w:rPr>
                <w:rFonts w:ascii="Times New Roman" w:eastAsia="宋体"/>
                <w:b/>
                <w:bCs/>
                <w:i w:val="0"/>
                <w:iCs w:val="0"/>
                <w:color w:val="000000"/>
                <w:sz w:val="18"/>
                <w:szCs w:val="18"/>
              </w:rPr>
              <w:t>验证结果</w:t>
            </w:r>
          </w:p>
        </w:tc>
      </w:tr>
      <w:tr w14:paraId="03ACF15A">
        <w:trPr>
          <w:jc w:val="center"/>
        </w:trPr>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76B7D1">
            <w:pPr>
              <w:jc w:val="center"/>
            </w:pPr>
            <w:r>
              <w:rPr>
                <w:rFonts w:ascii="Times New Roman" w:eastAsia="宋体"/>
                <w:b w:val="0"/>
                <w:bCs w:val="0"/>
                <w:i w:val="0"/>
                <w:iCs w:val="0"/>
                <w:color w:val="000000"/>
                <w:sz w:val="18"/>
                <w:szCs w:val="18"/>
              </w:rPr>
              <w:t>H1</w:t>
            </w:r>
          </w:p>
        </w:tc>
        <w:tc>
          <w:tcPr>
            <w:tcW w:w="4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07D714">
            <w:pPr>
              <w:jc w:val="left"/>
            </w:pPr>
            <w:r>
              <w:rPr>
                <w:rFonts w:ascii="Times New Roman" w:eastAsia="宋体"/>
                <w:b w:val="0"/>
                <w:bCs w:val="0"/>
                <w:i w:val="0"/>
                <w:iCs w:val="0"/>
                <w:color w:val="000000"/>
                <w:sz w:val="18"/>
                <w:szCs w:val="18"/>
              </w:rPr>
              <w:t>AI素养越高，AI技术信任越强（正向）</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43FB28">
            <w:pPr>
              <w:jc w:val="center"/>
            </w:pPr>
            <w:r>
              <w:rPr>
                <w:rFonts w:ascii="Times New Roman" w:eastAsia="宋体"/>
                <w:b w:val="0"/>
                <w:bCs w:val="0"/>
                <w:i w:val="0"/>
                <w:iCs w:val="0"/>
                <w:color w:val="000000"/>
                <w:sz w:val="18"/>
                <w:szCs w:val="18"/>
              </w:rPr>
              <w:t>β=0.539，p&lt;0.001</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3FB28B">
            <w:pPr>
              <w:jc w:val="center"/>
            </w:pPr>
            <w:r>
              <w:rPr>
                <w:rFonts w:ascii="Times New Roman" w:eastAsia="宋体"/>
                <w:b/>
                <w:bCs/>
                <w:i w:val="0"/>
                <w:iCs w:val="0"/>
                <w:color w:val="1E7E34"/>
                <w:sz w:val="18"/>
                <w:szCs w:val="18"/>
              </w:rPr>
              <w:t xml:space="preserve">支持 </w:t>
            </w:r>
          </w:p>
        </w:tc>
      </w:tr>
      <w:tr w14:paraId="55C1323F">
        <w:trPr>
          <w:jc w:val="center"/>
        </w:trPr>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8799CD">
            <w:pPr>
              <w:jc w:val="center"/>
            </w:pPr>
            <w:r>
              <w:rPr>
                <w:rFonts w:ascii="Times New Roman" w:eastAsia="宋体"/>
                <w:b w:val="0"/>
                <w:bCs w:val="0"/>
                <w:i w:val="0"/>
                <w:iCs w:val="0"/>
                <w:color w:val="000000"/>
                <w:sz w:val="18"/>
                <w:szCs w:val="18"/>
              </w:rPr>
              <w:t>H2</w:t>
            </w:r>
          </w:p>
        </w:tc>
        <w:tc>
          <w:tcPr>
            <w:tcW w:w="4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10B1F0">
            <w:pPr>
              <w:jc w:val="left"/>
            </w:pPr>
            <w:r>
              <w:rPr>
                <w:rFonts w:ascii="Times New Roman" w:eastAsia="宋体"/>
                <w:b w:val="0"/>
                <w:bCs w:val="0"/>
                <w:i w:val="0"/>
                <w:iCs w:val="0"/>
                <w:color w:val="000000"/>
                <w:sz w:val="18"/>
                <w:szCs w:val="18"/>
              </w:rPr>
              <w:t>AI新闻接触频率越高，AI技术信任越弱（负向）</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DBAE98">
            <w:pPr>
              <w:jc w:val="center"/>
            </w:pPr>
            <w:r>
              <w:rPr>
                <w:rFonts w:ascii="Times New Roman" w:eastAsia="宋体"/>
                <w:b w:val="0"/>
                <w:bCs w:val="0"/>
                <w:i w:val="0"/>
                <w:iCs w:val="0"/>
                <w:color w:val="000000"/>
                <w:sz w:val="18"/>
                <w:szCs w:val="18"/>
              </w:rPr>
              <w:t>β=-0.097，p=0.005</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3853F6">
            <w:pPr>
              <w:jc w:val="center"/>
            </w:pPr>
            <w:r>
              <w:rPr>
                <w:rFonts w:ascii="Times New Roman" w:eastAsia="宋体"/>
                <w:b/>
                <w:bCs/>
                <w:i w:val="0"/>
                <w:iCs w:val="0"/>
                <w:color w:val="1E7E34"/>
                <w:sz w:val="18"/>
                <w:szCs w:val="18"/>
              </w:rPr>
              <w:t xml:space="preserve">支持 </w:t>
            </w:r>
          </w:p>
        </w:tc>
      </w:tr>
      <w:tr w14:paraId="5F84E265">
        <w:trPr>
          <w:jc w:val="center"/>
        </w:trPr>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A07A08">
            <w:pPr>
              <w:jc w:val="center"/>
            </w:pPr>
            <w:r>
              <w:rPr>
                <w:rFonts w:ascii="Times New Roman" w:eastAsia="宋体"/>
                <w:b w:val="0"/>
                <w:bCs w:val="0"/>
                <w:i w:val="0"/>
                <w:iCs w:val="0"/>
                <w:color w:val="000000"/>
                <w:sz w:val="18"/>
                <w:szCs w:val="18"/>
              </w:rPr>
              <w:t>H3</w:t>
            </w:r>
          </w:p>
        </w:tc>
        <w:tc>
          <w:tcPr>
            <w:tcW w:w="4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6B3ADE">
            <w:pPr>
              <w:jc w:val="left"/>
            </w:pPr>
            <w:r>
              <w:rPr>
                <w:rFonts w:ascii="Times New Roman" w:eastAsia="宋体"/>
                <w:b w:val="0"/>
                <w:bCs w:val="0"/>
                <w:i w:val="0"/>
                <w:iCs w:val="0"/>
                <w:color w:val="000000"/>
                <w:sz w:val="18"/>
                <w:szCs w:val="18"/>
              </w:rPr>
              <w:t>AI技术信任对AI新闻信任有显著正向影响</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408AB0">
            <w:pPr>
              <w:jc w:val="center"/>
            </w:pPr>
            <w:r>
              <w:rPr>
                <w:rFonts w:ascii="Times New Roman" w:eastAsia="宋体"/>
                <w:b w:val="0"/>
                <w:bCs w:val="0"/>
                <w:i w:val="0"/>
                <w:iCs w:val="0"/>
                <w:color w:val="000000"/>
                <w:sz w:val="18"/>
                <w:szCs w:val="18"/>
              </w:rPr>
              <w:t>β=0.649，p&lt;0.001</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CDD382">
            <w:pPr>
              <w:jc w:val="center"/>
            </w:pPr>
            <w:r>
              <w:rPr>
                <w:rFonts w:ascii="Times New Roman" w:eastAsia="宋体"/>
                <w:b/>
                <w:bCs/>
                <w:i w:val="0"/>
                <w:iCs w:val="0"/>
                <w:color w:val="1E7E34"/>
                <w:sz w:val="18"/>
                <w:szCs w:val="18"/>
              </w:rPr>
              <w:t xml:space="preserve">支持 </w:t>
            </w:r>
          </w:p>
        </w:tc>
      </w:tr>
      <w:tr w14:paraId="1843FC20">
        <w:trPr>
          <w:jc w:val="center"/>
        </w:trPr>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59D17B">
            <w:pPr>
              <w:jc w:val="center"/>
            </w:pPr>
            <w:r>
              <w:rPr>
                <w:rFonts w:ascii="Times New Roman" w:eastAsia="宋体"/>
                <w:b w:val="0"/>
                <w:bCs w:val="0"/>
                <w:i w:val="0"/>
                <w:iCs w:val="0"/>
                <w:color w:val="000000"/>
                <w:sz w:val="18"/>
                <w:szCs w:val="18"/>
              </w:rPr>
              <w:t>H4</w:t>
            </w:r>
          </w:p>
        </w:tc>
        <w:tc>
          <w:tcPr>
            <w:tcW w:w="4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1E165A">
            <w:pPr>
              <w:jc w:val="left"/>
            </w:pPr>
            <w:r>
              <w:rPr>
                <w:rFonts w:ascii="Times New Roman" w:eastAsia="宋体"/>
                <w:b w:val="0"/>
                <w:bCs w:val="0"/>
                <w:i w:val="0"/>
                <w:iCs w:val="0"/>
                <w:color w:val="000000"/>
                <w:sz w:val="18"/>
                <w:szCs w:val="18"/>
              </w:rPr>
              <w:t>AI技术信任在AI素养/AI新闻接触频率与AI新闻信任间起中介作用</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5B9738">
            <w:pPr>
              <w:jc w:val="center"/>
            </w:pPr>
            <w:r>
              <w:rPr>
                <w:rFonts w:ascii="Times New Roman" w:eastAsia="宋体"/>
                <w:b w:val="0"/>
                <w:bCs w:val="0"/>
                <w:i w:val="0"/>
                <w:iCs w:val="0"/>
                <w:color w:val="000000"/>
                <w:sz w:val="18"/>
                <w:szCs w:val="18"/>
              </w:rPr>
              <w:t>Boot CI不含0</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D14004">
            <w:pPr>
              <w:jc w:val="center"/>
            </w:pPr>
            <w:r>
              <w:rPr>
                <w:rFonts w:ascii="Times New Roman" w:eastAsia="宋体"/>
                <w:b/>
                <w:bCs/>
                <w:i w:val="0"/>
                <w:iCs w:val="0"/>
                <w:color w:val="1E7E34"/>
                <w:sz w:val="18"/>
                <w:szCs w:val="18"/>
              </w:rPr>
              <w:t xml:space="preserve">支持 </w:t>
            </w:r>
          </w:p>
        </w:tc>
      </w:tr>
      <w:tr w14:paraId="38E2B36F">
        <w:trPr>
          <w:jc w:val="center"/>
        </w:trPr>
        <w:tc>
          <w:tcPr>
            <w:tcW w:w="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995E14">
            <w:pPr>
              <w:jc w:val="center"/>
            </w:pPr>
            <w:r>
              <w:rPr>
                <w:rFonts w:ascii="Times New Roman" w:eastAsia="宋体"/>
                <w:b w:val="0"/>
                <w:bCs w:val="0"/>
                <w:i w:val="0"/>
                <w:iCs w:val="0"/>
                <w:color w:val="000000"/>
                <w:sz w:val="18"/>
                <w:szCs w:val="18"/>
              </w:rPr>
              <w:t>H5</w:t>
            </w:r>
          </w:p>
        </w:tc>
        <w:tc>
          <w:tcPr>
            <w:tcW w:w="4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374CAF">
            <w:pPr>
              <w:jc w:val="left"/>
            </w:pPr>
            <w:r>
              <w:rPr>
                <w:rFonts w:ascii="Times New Roman" w:eastAsia="宋体"/>
                <w:b w:val="0"/>
                <w:bCs w:val="0"/>
                <w:i w:val="0"/>
                <w:iCs w:val="0"/>
                <w:color w:val="000000"/>
                <w:sz w:val="18"/>
                <w:szCs w:val="18"/>
              </w:rPr>
              <w:t>媒体信任负向调节AI新闻接触→AI技术信任的路径</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D4522C">
            <w:pPr>
              <w:jc w:val="center"/>
            </w:pPr>
            <w:r>
              <w:rPr>
                <w:rFonts w:ascii="Times New Roman" w:eastAsia="宋体"/>
                <w:b w:val="0"/>
                <w:bCs w:val="0"/>
                <w:i w:val="0"/>
                <w:iCs w:val="0"/>
                <w:color w:val="000000"/>
                <w:sz w:val="18"/>
                <w:szCs w:val="18"/>
              </w:rPr>
              <w:t>β=-0.078，p=0.002</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6E5141">
            <w:pPr>
              <w:jc w:val="center"/>
            </w:pPr>
            <w:r>
              <w:rPr>
                <w:rFonts w:ascii="Times New Roman" w:eastAsia="宋体"/>
                <w:b/>
                <w:bCs/>
                <w:i w:val="0"/>
                <w:iCs w:val="0"/>
                <w:color w:val="1E7E34"/>
                <w:sz w:val="18"/>
                <w:szCs w:val="18"/>
              </w:rPr>
              <w:t xml:space="preserve">支持 </w:t>
            </w:r>
          </w:p>
        </w:tc>
      </w:tr>
    </w:tbl>
    <w:p w14:paraId="09884B7C">
      <w:pPr>
        <w:spacing w:before="60" w:after="160"/>
      </w:pPr>
      <w:r>
        <w:rPr>
          <w:rFonts w:ascii="Times New Roman" w:eastAsia="宋体"/>
          <w:i/>
          <w:iCs/>
          <w:color w:val="555555"/>
          <w:sz w:val="18"/>
          <w:szCs w:val="18"/>
        </w:rPr>
        <w:t>注：附加发现——加入AI技术信任后，AI素养对AI新闻信任的直接效应转为负向（β=-0.194，p&lt;0.001），呈现遮掩效应。</w:t>
      </w:r>
    </w:p>
    <w:p w14:paraId="6062A19E">
      <w:pPr>
        <w:spacing w:line="480" w:lineRule="auto"/>
      </w:pPr>
    </w:p>
    <w:p w14:paraId="4221FA36">
      <w:pPr>
        <w:pStyle w:val="3"/>
        <w:keepNext/>
        <w:keepLines w:val="0"/>
        <w:spacing w:before="360" w:after="240" w:line="240" w:lineRule="auto"/>
        <w:jc w:val="left"/>
      </w:pPr>
      <w:bookmarkStart w:id="42" w:name="_Toc1014298992"/>
      <w:r>
        <w:rPr>
          <w:rFonts w:ascii="Times New Roman" w:hAnsi="Times New Roman" w:eastAsia="黑体"/>
          <w:b/>
          <w:i w:val="0"/>
          <w:color w:val="000000"/>
          <w:sz w:val="32"/>
        </w:rPr>
        <w:t>5  讨论与结论</w:t>
      </w:r>
      <w:bookmarkEnd w:id="42"/>
    </w:p>
    <w:p w14:paraId="6D72C26C">
      <w:pPr>
        <w:pStyle w:val="4"/>
        <w:keepNext/>
        <w:keepLines w:val="0"/>
        <w:spacing w:before="240" w:after="120" w:line="240" w:lineRule="auto"/>
        <w:jc w:val="left"/>
      </w:pPr>
      <w:bookmarkStart w:id="43" w:name="_Toc597968658"/>
      <w:r>
        <w:rPr>
          <w:rFonts w:ascii="Times New Roman" w:hAnsi="Times New Roman" w:eastAsia="黑体"/>
          <w:b/>
          <w:i w:val="0"/>
          <w:color w:val="000000"/>
          <w:sz w:val="30"/>
        </w:rPr>
        <w:t>5.1  研究发现的理论解读</w:t>
      </w:r>
      <w:bookmarkEnd w:id="43"/>
    </w:p>
    <w:p w14:paraId="4ED79622">
      <w:pPr>
        <w:keepNext w:val="0"/>
        <w:keepLines w:val="0"/>
        <w:spacing w:before="120" w:after="120" w:line="240" w:lineRule="auto"/>
        <w:ind w:firstLine="420"/>
        <w:jc w:val="both"/>
      </w:pPr>
      <w:r>
        <w:rPr>
          <w:rFonts w:ascii="Times New Roman" w:hAnsi="Times New Roman" w:eastAsia="宋体"/>
          <w:b w:val="0"/>
          <w:i w:val="0"/>
          <w:sz w:val="21"/>
        </w:rPr>
        <w:t>五项假设均获得数据支持，下面阐释各项发现的理论逻辑。</w:t>
      </w:r>
    </w:p>
    <w:p w14:paraId="2F9643C5">
      <w:pPr>
        <w:pStyle w:val="5"/>
        <w:keepNext/>
        <w:keepLines w:val="0"/>
        <w:spacing w:before="240" w:after="120" w:line="240" w:lineRule="auto"/>
        <w:jc w:val="left"/>
      </w:pPr>
      <w:bookmarkStart w:id="44" w:name="_Toc1983250693"/>
      <w:r>
        <w:rPr>
          <w:rFonts w:ascii="Times New Roman" w:hAnsi="Times New Roman" w:eastAsia="黑体"/>
          <w:b/>
          <w:i w:val="0"/>
          <w:color w:val="000000"/>
          <w:sz w:val="28"/>
        </w:rPr>
        <w:t>5.1.1  系统式路径：素养建立信任，也撕裂信任</w:t>
      </w:r>
      <w:bookmarkEnd w:id="44"/>
    </w:p>
    <w:p w14:paraId="55B2D150">
      <w:pPr>
        <w:keepNext w:val="0"/>
        <w:keepLines w:val="0"/>
        <w:spacing w:before="120" w:after="120" w:line="240" w:lineRule="auto"/>
        <w:ind w:firstLine="420"/>
        <w:jc w:val="both"/>
      </w:pPr>
      <w:r>
        <w:rPr>
          <w:rFonts w:ascii="Times New Roman" w:hAnsi="Times New Roman" w:eastAsia="宋体"/>
          <w:b w:val="0"/>
          <w:i w:val="0"/>
          <w:sz w:val="21"/>
        </w:rPr>
        <w:t>AI素养通过AI技术信任的完全中介，对AI新闻信任产生正向影响（间接效应B=0.539，95% CI=[0.461, 0.622]）。对AI技术运作原理有较深理解的受众，对AI能力边界的认识更为客观，这种理性的认知框架有助于建立对AI技术整体的信任，并进而延伸至对AI新闻的接受。Long与Magerko（2020）将AI素养的核心定义为“批判性评估”的能力，强调的恰恰是有据可依的理性信任，而非盲目崇拜或无知恐惧</w:t>
      </w:r>
      <w:r>
        <w:rPr>
          <w:rFonts w:ascii="Times New Roman" w:hAnsi="Times New Roman" w:eastAsia="宋体"/>
          <w:b w:val="0"/>
          <w:i w:val="0"/>
          <w:sz w:val="16"/>
          <w:vertAlign w:val="superscript"/>
        </w:rPr>
        <w:t>[5]</w:t>
      </w:r>
      <w:r>
        <w:rPr>
          <w:rFonts w:ascii="Times New Roman" w:hAnsi="Times New Roman" w:eastAsia="宋体"/>
          <w:b w:val="0"/>
          <w:i w:val="0"/>
          <w:sz w:val="21"/>
        </w:rPr>
        <w:t>。</w:t>
      </w:r>
    </w:p>
    <w:p w14:paraId="52A7F089">
      <w:pPr>
        <w:keepNext w:val="0"/>
        <w:keepLines w:val="0"/>
        <w:spacing w:before="120" w:after="120" w:line="240" w:lineRule="auto"/>
        <w:ind w:firstLine="420"/>
        <w:jc w:val="both"/>
      </w:pPr>
      <w:r>
        <w:rPr>
          <w:rFonts w:ascii="Times New Roman" w:hAnsi="Times New Roman" w:eastAsia="宋体"/>
          <w:b w:val="0"/>
          <w:i w:val="0"/>
          <w:sz w:val="21"/>
        </w:rPr>
        <w:t>然而，本研究更值得关注的发现是遮掩效应的出现：在纳入AI技术信任（中介变量）之后，AI素养对AI新闻信任的直接效应由正向转为显著负向（β=-0.194，p&lt;0.001）。这揭示了一种内在的认知张力——AI素养同时携带两股相互抵消的力量。一方面，它通过与AI技术信任的正向关联，间接预测了AI新闻信任的提升；另一方面，它所带来的批判性认知资源，像对AI幻觉的警觉与对算法偏见的识别，却与AI新闻信任呈负向直接关联。聂静虹和</w:t>
      </w:r>
      <w:r>
        <w:rPr>
          <w:rFonts w:hint="eastAsia" w:ascii="Times New Roman" w:hAnsi="Times New Roman" w:eastAsia="宋体"/>
          <w:b w:val="0"/>
          <w:i w:val="0"/>
          <w:sz w:val="21"/>
          <w:lang w:eastAsia="zh-CN"/>
        </w:rPr>
        <w:t>李肖楠</w:t>
      </w:r>
      <w:r>
        <w:rPr>
          <w:rFonts w:ascii="Times New Roman" w:hAnsi="Times New Roman" w:eastAsia="宋体"/>
          <w:b w:val="0"/>
          <w:i w:val="0"/>
          <w:sz w:val="21"/>
        </w:rPr>
        <w:t>（2025）的研究提供了一个生动的注脚：即便是专业的新闻从业者，在使用AI辅助生产时也同样面临着信任危机与效率悖论</w:t>
      </w:r>
      <w:r>
        <w:rPr>
          <w:rFonts w:ascii="Times New Roman" w:hAnsi="Times New Roman" w:eastAsia="宋体"/>
          <w:b w:val="0"/>
          <w:i w:val="0"/>
          <w:sz w:val="16"/>
          <w:vertAlign w:val="superscript"/>
        </w:rPr>
        <w:t>[8]</w:t>
      </w:r>
      <w:r>
        <w:rPr>
          <w:rFonts w:ascii="Times New Roman" w:hAnsi="Times New Roman" w:eastAsia="宋体"/>
          <w:b w:val="0"/>
          <w:i w:val="0"/>
          <w:sz w:val="21"/>
        </w:rPr>
        <w:t>。懂得越多，对AI局限性的感知越敏锐，批判的阈值也越低。从理论意涵上看，AI素养在本质上是一种“祛魅”过程：它一方面祛除了对AI技术的盲目恐惧（通过系统性认知提升技术信任），另一方面也在祛除对AI新闻内容的盲目信从（通过批判性评价直接抑制新闻信任）。高素养受众在AI新闻信任判断中可能表现出更强的批判性倾向——这不是悖论，而是理性认知的必然结果。两股力量的净效应为正向，但若不区分直接效应与间接效应，这一内在张力将被完全遮蔽。此外需要指出的是，遮掩效应的出现也提示未来研究关注量表效度问题：本研究所用AI素养量表改编自Long与Magerko（2020），其题项偏重技术理解与操作能力，对批判性反思维度的覆盖相对有限。若量表对“批判性素养”的捕捉不足，则遮掩效应的负向直接路径或许部分反映的是技术乐观主义与现实质量感知之间的落差，而非纯粹的批判性认知资源效应。这一可能性有待未来研究通过更全面的测量工具加以厘清。</w:t>
      </w:r>
    </w:p>
    <w:p w14:paraId="37BD2A1D">
      <w:pPr>
        <w:pStyle w:val="5"/>
        <w:keepNext/>
        <w:keepLines w:val="0"/>
        <w:spacing w:before="240" w:after="120" w:line="240" w:lineRule="auto"/>
        <w:jc w:val="left"/>
      </w:pPr>
      <w:bookmarkStart w:id="45" w:name="_Toc1400712164"/>
      <w:r>
        <w:rPr>
          <w:rFonts w:ascii="Times New Roman" w:hAnsi="Times New Roman" w:eastAsia="黑体"/>
          <w:b/>
          <w:i w:val="0"/>
          <w:color w:val="000000"/>
          <w:sz w:val="28"/>
        </w:rPr>
        <w:t>5.1.2  启发式路径：体验积累与信任消耗</w:t>
      </w:r>
      <w:bookmarkEnd w:id="45"/>
    </w:p>
    <w:p w14:paraId="3719A0B6">
      <w:pPr>
        <w:keepNext w:val="0"/>
        <w:keepLines w:val="0"/>
        <w:spacing w:before="120" w:after="120" w:line="240" w:lineRule="auto"/>
        <w:ind w:firstLine="420"/>
        <w:jc w:val="both"/>
      </w:pPr>
      <w:r>
        <w:rPr>
          <w:rFonts w:ascii="Times New Roman" w:hAnsi="Times New Roman" w:eastAsia="宋体"/>
          <w:b w:val="0"/>
          <w:i w:val="0"/>
          <w:sz w:val="21"/>
        </w:rPr>
        <w:t>AI新闻接触频率通过AI技术信任对AI新闻信任产生显著负向的间接效应（B=-0.034，95% CI=[-0.058, -0.010]）。这一路径的形成机制，源于受众期望与实际体验之间的持续落差。受众在初次接触AI新闻时，往往对机器的客观性与速度抱有先验期待。然而，真实的阅读体验往往在持续地打破这种期望，AI幻觉导致的事实错误、程式化的语言风格以及内容的同质化倾向在日积月累中动摇了对AI技术整体的信任。刘强和王琳（2025）的研究发现，AI自我效能的降低会导致用户放弃对潜在虚假信息的主动甄别，进入“接触——参与”的盲目模式</w:t>
      </w:r>
      <w:r>
        <w:rPr>
          <w:rFonts w:ascii="Times New Roman" w:hAnsi="Times New Roman" w:eastAsia="宋体"/>
          <w:b w:val="0"/>
          <w:i w:val="0"/>
          <w:sz w:val="16"/>
          <w:vertAlign w:val="superscript"/>
        </w:rPr>
        <w:t>[14]</w:t>
      </w:r>
      <w:r>
        <w:rPr>
          <w:rFonts w:ascii="Times New Roman" w:hAnsi="Times New Roman" w:eastAsia="宋体"/>
          <w:b w:val="0"/>
          <w:i w:val="0"/>
          <w:sz w:val="21"/>
        </w:rPr>
        <w:t>——这一从主动甄别到被动消费的角色退化，正是信任侵蚀在行为层面的体现。Wang与Huang（2024）的元分析同样发现，机器作者身份的负向效应在社会政治类新闻中尤为突出</w:t>
      </w:r>
      <w:r>
        <w:rPr>
          <w:rFonts w:ascii="Times New Roman" w:hAnsi="Times New Roman" w:eastAsia="宋体"/>
          <w:b w:val="0"/>
          <w:i w:val="0"/>
          <w:sz w:val="16"/>
          <w:vertAlign w:val="superscript"/>
        </w:rPr>
        <w:t>[3]</w:t>
      </w:r>
      <w:r>
        <w:rPr>
          <w:rFonts w:ascii="Times New Roman" w:hAnsi="Times New Roman" w:eastAsia="宋体"/>
          <w:b w:val="0"/>
          <w:i w:val="0"/>
          <w:sz w:val="21"/>
        </w:rPr>
        <w:t>，在涉及价值判断与公共利益的新闻领域，受众对“人性”的隐性期望最高，AI的缺席感也最为尖锐。</w:t>
      </w:r>
    </w:p>
    <w:p w14:paraId="711E4145">
      <w:pPr>
        <w:pStyle w:val="5"/>
        <w:keepNext/>
        <w:keepLines w:val="0"/>
        <w:spacing w:before="240" w:after="120" w:line="240" w:lineRule="auto"/>
        <w:jc w:val="left"/>
      </w:pPr>
      <w:bookmarkStart w:id="46" w:name="_Toc1053601934"/>
      <w:r>
        <w:rPr>
          <w:rFonts w:ascii="Times New Roman" w:hAnsi="Times New Roman" w:eastAsia="黑体"/>
          <w:b/>
          <w:i w:val="0"/>
          <w:color w:val="000000"/>
          <w:sz w:val="28"/>
        </w:rPr>
        <w:t>5.1.3  调节效应：忠实受众是最脆弱的受众</w:t>
      </w:r>
      <w:bookmarkEnd w:id="46"/>
    </w:p>
    <w:p w14:paraId="74806C68">
      <w:pPr>
        <w:keepNext w:val="0"/>
        <w:keepLines w:val="0"/>
        <w:spacing w:before="120" w:after="120" w:line="240" w:lineRule="auto"/>
        <w:ind w:firstLine="420"/>
        <w:jc w:val="both"/>
      </w:pPr>
      <w:r>
        <w:rPr>
          <w:rFonts w:ascii="Times New Roman" w:hAnsi="Times New Roman" w:eastAsia="宋体"/>
          <w:b w:val="0"/>
          <w:i w:val="0"/>
          <w:sz w:val="21"/>
        </w:rPr>
        <w:t>媒体信任对AI新闻接触频率→AI技术信任路径的调节效应得到验证（β=-0.078，p=0.002）。简单斜率分析的结果值得反复审视：AI新闻接触频率对AI技术信任的负向效应，在高媒体信任群体中显著（斜率=-0.086，p&lt;0.001），而在低媒体信任群体中根本不显著（斜率=-0.023，p=0.147）。</w:t>
      </w:r>
    </w:p>
    <w:p w14:paraId="21BC3874">
      <w:pPr>
        <w:keepNext w:val="0"/>
        <w:keepLines w:val="0"/>
        <w:spacing w:before="120" w:after="120" w:line="240" w:lineRule="auto"/>
        <w:ind w:firstLine="420"/>
        <w:jc w:val="both"/>
      </w:pPr>
      <w:r>
        <w:rPr>
          <w:rFonts w:ascii="Times New Roman" w:hAnsi="Times New Roman" w:eastAsia="宋体"/>
          <w:b w:val="0"/>
          <w:i w:val="0"/>
          <w:sz w:val="21"/>
        </w:rPr>
        <w:t>这一“忠实受众反而更脆弱”的调节模式，是本研究最具实践警示意义的发现。媒体信任在此呈现出一种双刃剑效应：高媒体信任固然是新闻机构最宝贵的受众资产，但它同时意味着更高的期望基准。当AI新闻的实际质量未能达到这一基准时，失望感的强度与原有信任的高度成正比——原有信任越深，落差引发的负面效应也越显著。Toff与Simon（2025）在不同样本中也观察到相似的模式：AI披露的负向效应集中于高新闻知识受众</w:t>
      </w:r>
      <w:r>
        <w:rPr>
          <w:rFonts w:ascii="Times New Roman" w:hAnsi="Times New Roman" w:eastAsia="宋体"/>
          <w:b w:val="0"/>
          <w:i w:val="0"/>
          <w:sz w:val="16"/>
          <w:vertAlign w:val="superscript"/>
        </w:rPr>
        <w:t>[4]</w:t>
      </w:r>
      <w:r>
        <w:rPr>
          <w:rFonts w:ascii="Times New Roman" w:hAnsi="Times New Roman" w:eastAsia="宋体"/>
          <w:b w:val="0"/>
          <w:i w:val="0"/>
          <w:sz w:val="21"/>
        </w:rPr>
        <w:t>。需要指出的是，“AI披露”与本研究的“接触频率”是不同的自变量，两组发现并不构成直接的相互印证，但二者共同揭示了一个值得关注的规律：高信任或高知识受众群体在AI介入时更容易出现负面效应。这一规律背后的共同心理机制——无论是期望落差还是认知警觉——有待未来研究厘清。对新闻最了解、最信任的那群受众，在AI时代反而面临着更大的信任落差风险。Borchardt等（2024）因此明确警示，生成式AI时代新闻机构最需要守护的，恰恰是那些原本最信任自己的核心受众</w:t>
      </w:r>
      <w:r>
        <w:rPr>
          <w:rFonts w:ascii="Times New Roman" w:hAnsi="Times New Roman" w:eastAsia="宋体"/>
          <w:b w:val="0"/>
          <w:i w:val="0"/>
          <w:sz w:val="16"/>
          <w:vertAlign w:val="superscript"/>
        </w:rPr>
        <w:t>[13]</w:t>
      </w:r>
      <w:r>
        <w:rPr>
          <w:rFonts w:ascii="Times New Roman" w:hAnsi="Times New Roman" w:eastAsia="宋体"/>
          <w:b w:val="0"/>
          <w:i w:val="0"/>
          <w:sz w:val="21"/>
        </w:rPr>
        <w:t>。</w:t>
      </w:r>
    </w:p>
    <w:p w14:paraId="690679F0">
      <w:pPr>
        <w:pStyle w:val="4"/>
        <w:keepNext/>
        <w:keepLines w:val="0"/>
        <w:spacing w:before="240" w:after="120" w:line="240" w:lineRule="auto"/>
        <w:jc w:val="left"/>
      </w:pPr>
      <w:bookmarkStart w:id="47" w:name="_Toc1885035223"/>
      <w:r>
        <w:rPr>
          <w:rFonts w:ascii="Times New Roman" w:hAnsi="Times New Roman" w:eastAsia="黑体"/>
          <w:b/>
          <w:i w:val="0"/>
          <w:color w:val="000000"/>
          <w:sz w:val="30"/>
        </w:rPr>
        <w:t>5.2  理论贡献</w:t>
      </w:r>
      <w:bookmarkEnd w:id="47"/>
    </w:p>
    <w:p w14:paraId="630770C6">
      <w:pPr>
        <w:keepNext w:val="0"/>
        <w:keepLines w:val="0"/>
        <w:spacing w:before="120" w:after="120" w:line="240" w:lineRule="auto"/>
        <w:ind w:firstLine="420"/>
        <w:jc w:val="both"/>
      </w:pPr>
      <w:r>
        <w:rPr>
          <w:rFonts w:ascii="Times New Roman" w:hAnsi="Times New Roman" w:eastAsia="宋体"/>
          <w:b w:val="0"/>
          <w:i w:val="0"/>
          <w:sz w:val="21"/>
        </w:rPr>
        <w:t>本研究的理论贡献体现在三个层面。</w:t>
      </w:r>
    </w:p>
    <w:p w14:paraId="58CED571">
      <w:pPr>
        <w:keepNext w:val="0"/>
        <w:keepLines w:val="0"/>
        <w:spacing w:before="120" w:after="120" w:line="240" w:lineRule="auto"/>
        <w:ind w:firstLine="420"/>
        <w:jc w:val="both"/>
      </w:pPr>
      <w:r>
        <w:rPr>
          <w:rFonts w:ascii="Times New Roman" w:hAnsi="Times New Roman" w:eastAsia="宋体"/>
          <w:b w:val="0"/>
          <w:i w:val="0"/>
          <w:sz w:val="21"/>
        </w:rPr>
        <w:t>第一，构建了AI新闻信任研究的双路径整合框架。本研究将AI素养（认知型影响因素）与AI新闻接触经验（行为型影响因素）纳入同一理论框架，以HSM的双路径逻辑统一解释了两者影响方向相反这一矛盾现象，回应了现有研究中促进论与怀疑论并立、结论不一致的理论困境，为后续研究提供了可操作化的分析框架。</w:t>
      </w:r>
    </w:p>
    <w:p w14:paraId="12B40432">
      <w:pPr>
        <w:keepNext w:val="0"/>
        <w:keepLines w:val="0"/>
        <w:spacing w:before="120" w:after="120" w:line="240" w:lineRule="auto"/>
        <w:ind w:firstLine="420"/>
        <w:jc w:val="both"/>
      </w:pPr>
      <w:r>
        <w:rPr>
          <w:rFonts w:ascii="Times New Roman" w:hAnsi="Times New Roman" w:eastAsia="宋体"/>
          <w:b w:val="0"/>
          <w:i w:val="0"/>
          <w:sz w:val="21"/>
        </w:rPr>
        <w:t>第二，区分并检验了AI技术信任与AI新闻信任的层次关系。本研究将对AI技术系统的整体信任评价与对AI生成新闻内容的具体信任评价加以明确区分，发现前者对后者有显著正向影响，并在两条影响路径中均发挥中介作用。这一发现印证了陈昌凤和王金鹏（2025）关于“重塑新闻信任必须从技术信任的根基处着手”的判断</w:t>
      </w:r>
      <w:r>
        <w:rPr>
          <w:rFonts w:ascii="Times New Roman" w:hAnsi="Times New Roman" w:eastAsia="宋体"/>
          <w:b w:val="0"/>
          <w:i w:val="0"/>
          <w:sz w:val="16"/>
          <w:vertAlign w:val="superscript"/>
        </w:rPr>
        <w:t>[2]</w:t>
      </w:r>
      <w:r>
        <w:rPr>
          <w:rFonts w:ascii="Times New Roman" w:hAnsi="Times New Roman" w:eastAsia="宋体"/>
          <w:b w:val="0"/>
          <w:i w:val="0"/>
          <w:sz w:val="21"/>
        </w:rPr>
        <w:t>，也为信任研究的层次化测量提供了实证支撑。</w:t>
      </w:r>
    </w:p>
    <w:p w14:paraId="59757BDF">
      <w:pPr>
        <w:keepNext w:val="0"/>
        <w:keepLines w:val="0"/>
        <w:spacing w:before="120" w:after="120" w:line="240" w:lineRule="auto"/>
        <w:ind w:firstLine="420"/>
        <w:jc w:val="both"/>
      </w:pPr>
      <w:r>
        <w:rPr>
          <w:rFonts w:ascii="Times New Roman" w:hAnsi="Times New Roman" w:eastAsia="宋体"/>
          <w:b w:val="0"/>
          <w:i w:val="0"/>
          <w:sz w:val="21"/>
        </w:rPr>
        <w:t>第三，揭示了遮掩效应的存在及其理论意涵。AI素养对AI新闻信任的总效应为正向，但直接效应在引入中介变量后转为负向——这不是统计的意外，而是理论的深化。它揭示了素养的内在矛盾性：理性认知既是信任的建设者（通过技术信任的中介），也是信任的审判者（通过批判性评价的直接抑制）。这一发现为理解AI新闻信任的复杂形成机制提供了新的视角，也提示未来研究在测量素养效应时区分直接效应与间接效应的必要性。</w:t>
      </w:r>
    </w:p>
    <w:p w14:paraId="154F5C94">
      <w:pPr>
        <w:pStyle w:val="4"/>
        <w:keepNext/>
        <w:keepLines w:val="0"/>
        <w:spacing w:before="240" w:after="120" w:line="240" w:lineRule="auto"/>
        <w:jc w:val="left"/>
      </w:pPr>
      <w:bookmarkStart w:id="48" w:name="_Toc2108232417"/>
      <w:r>
        <w:rPr>
          <w:rFonts w:ascii="Times New Roman" w:hAnsi="Times New Roman" w:eastAsia="黑体"/>
          <w:b/>
          <w:i w:val="0"/>
          <w:color w:val="000000"/>
          <w:sz w:val="30"/>
        </w:rPr>
        <w:t>5.3  实践启示</w:t>
      </w:r>
      <w:bookmarkEnd w:id="48"/>
    </w:p>
    <w:p w14:paraId="7C3D4CBC">
      <w:pPr>
        <w:keepNext w:val="0"/>
        <w:keepLines w:val="0"/>
        <w:spacing w:before="120" w:after="120" w:line="240" w:lineRule="auto"/>
        <w:ind w:firstLine="420"/>
        <w:jc w:val="both"/>
      </w:pPr>
      <w:r>
        <w:rPr>
          <w:rFonts w:ascii="Times New Roman" w:hAnsi="Times New Roman" w:eastAsia="宋体"/>
          <w:b w:val="0"/>
          <w:i w:val="0"/>
          <w:sz w:val="21"/>
        </w:rPr>
        <w:t>本研究对新闻机构和政策制定者有如下实践启示。</w:t>
      </w:r>
    </w:p>
    <w:p w14:paraId="3BF67967">
      <w:pPr>
        <w:keepNext w:val="0"/>
        <w:keepLines w:val="0"/>
        <w:spacing w:before="120" w:after="120" w:line="240" w:lineRule="auto"/>
        <w:ind w:firstLine="420"/>
        <w:jc w:val="both"/>
      </w:pPr>
      <w:r>
        <w:rPr>
          <w:rFonts w:ascii="Times New Roman" w:hAnsi="Times New Roman" w:eastAsia="宋体"/>
          <w:b w:val="0"/>
          <w:i w:val="0"/>
          <w:sz w:val="21"/>
        </w:rPr>
        <w:t>其一，素养教育比内容供给更能建立信任。研究发现，AI素养通过AI技术信任完全中介AI新闻信任，这意味着让受众“懂AI”比让受众“多看AI新闻”更能从根本上建立信任基础。新闻机构可考虑在AI新闻内容中嵌入简明的技术说明，将被动消费转化为认知积累，将消费行为转化为素养提升。教育机构与政策部门则应将AI素养教育纳入媒介素养的整体框架，填补受众与技术之间的认知鸿沟。</w:t>
      </w:r>
    </w:p>
    <w:p w14:paraId="249441D9">
      <w:pPr>
        <w:keepNext w:val="0"/>
        <w:keepLines w:val="0"/>
        <w:spacing w:before="120" w:after="120" w:line="240" w:lineRule="auto"/>
        <w:ind w:firstLine="420"/>
        <w:jc w:val="both"/>
      </w:pPr>
      <w:r>
        <w:rPr>
          <w:rFonts w:ascii="Times New Roman" w:hAnsi="Times New Roman" w:eastAsia="宋体"/>
          <w:b w:val="0"/>
          <w:i w:val="0"/>
          <w:sz w:val="21"/>
        </w:rPr>
        <w:t>其二，不能以高媒体信任作为推进AI新闻的护城河。本研究的调节效应揭示，原本最信任媒体的受众，恰恰对AI新闻的质量问题最为敏感。Borchardt等（2024）的警告尤为适切：忠实受众是最宝贵的资产，也是最脆弱的关系</w:t>
      </w:r>
      <w:r>
        <w:rPr>
          <w:rFonts w:ascii="Times New Roman" w:hAnsi="Times New Roman" w:eastAsia="宋体"/>
          <w:b w:val="0"/>
          <w:i w:val="0"/>
          <w:sz w:val="16"/>
          <w:vertAlign w:val="superscript"/>
        </w:rPr>
        <w:t>[13]</w:t>
      </w:r>
      <w:r>
        <w:rPr>
          <w:rFonts w:ascii="Times New Roman" w:hAnsi="Times New Roman" w:eastAsia="宋体"/>
          <w:b w:val="0"/>
          <w:i w:val="0"/>
          <w:sz w:val="21"/>
        </w:rPr>
        <w:t>。对这部分受众而言，频繁接触质量参差的AI内容，不仅与其对AI技术信任的下降相关，更可能连带影响其对媒体机构本身的信任评价——而这种连带损失一旦发生，会难以修复。</w:t>
      </w:r>
    </w:p>
    <w:p w14:paraId="3CF77983">
      <w:pPr>
        <w:keepNext w:val="0"/>
        <w:keepLines w:val="0"/>
        <w:spacing w:before="120" w:after="120" w:line="240" w:lineRule="auto"/>
        <w:ind w:firstLine="420"/>
        <w:jc w:val="both"/>
      </w:pPr>
      <w:r>
        <w:rPr>
          <w:rFonts w:ascii="Times New Roman" w:hAnsi="Times New Roman" w:eastAsia="宋体"/>
          <w:b w:val="0"/>
          <w:i w:val="0"/>
          <w:sz w:val="21"/>
        </w:rPr>
        <w:t>其三，透明度须以质量为前提。Toff与Simon（2025）的研究已经证明，单纯AI标注不仅无法提升信任，反而可能适得其反</w:t>
      </w:r>
      <w:r>
        <w:rPr>
          <w:rFonts w:ascii="Times New Roman" w:hAnsi="Times New Roman" w:eastAsia="宋体"/>
          <w:b w:val="0"/>
          <w:i w:val="0"/>
          <w:sz w:val="16"/>
          <w:vertAlign w:val="superscript"/>
        </w:rPr>
        <w:t>[4]</w:t>
      </w:r>
      <w:r>
        <w:rPr>
          <w:rFonts w:ascii="Times New Roman" w:hAnsi="Times New Roman" w:eastAsia="宋体"/>
          <w:b w:val="0"/>
          <w:i w:val="0"/>
          <w:sz w:val="21"/>
        </w:rPr>
        <w:t>。本研究的接触效应同样表明，暴露量的增加并不等于信任的增长。对新闻机构而言，这意味着：透明地披露AI使用情况固然是信任建设的必要条件，但充分条件是切实提升AI辅助内容的质量。以实质性的改进来支撑形式性的标注，才是真正负责任的AI新闻实践。</w:t>
      </w:r>
    </w:p>
    <w:p w14:paraId="255A56F5">
      <w:pPr>
        <w:pStyle w:val="4"/>
        <w:keepNext/>
        <w:keepLines w:val="0"/>
        <w:spacing w:before="240" w:after="120" w:line="240" w:lineRule="auto"/>
        <w:jc w:val="left"/>
      </w:pPr>
      <w:bookmarkStart w:id="49" w:name="_Toc1729540666"/>
      <w:r>
        <w:rPr>
          <w:rFonts w:ascii="Times New Roman" w:hAnsi="Times New Roman" w:eastAsia="黑体"/>
          <w:b/>
          <w:i w:val="0"/>
          <w:color w:val="000000"/>
          <w:sz w:val="30"/>
        </w:rPr>
        <w:t>5.4  研究局限与未来展望</w:t>
      </w:r>
      <w:bookmarkEnd w:id="49"/>
    </w:p>
    <w:p w14:paraId="5719EBC5">
      <w:pPr>
        <w:keepNext w:val="0"/>
        <w:keepLines w:val="0"/>
        <w:spacing w:before="120" w:after="120" w:line="240" w:lineRule="auto"/>
        <w:ind w:firstLine="420"/>
        <w:jc w:val="both"/>
      </w:pPr>
      <w:r>
        <w:rPr>
          <w:rFonts w:ascii="Times New Roman" w:hAnsi="Times New Roman" w:eastAsia="宋体"/>
          <w:b w:val="0"/>
          <w:i w:val="0"/>
          <w:sz w:val="21"/>
        </w:rPr>
        <w:t>本研究存在以下局限。</w:t>
      </w:r>
    </w:p>
    <w:p w14:paraId="1B2B5119">
      <w:pPr>
        <w:keepNext w:val="0"/>
        <w:keepLines w:val="0"/>
        <w:spacing w:before="120" w:after="120" w:line="240" w:lineRule="auto"/>
        <w:ind w:firstLine="420"/>
        <w:jc w:val="both"/>
      </w:pPr>
      <w:r>
        <w:rPr>
          <w:rFonts w:ascii="Times New Roman" w:hAnsi="Times New Roman" w:eastAsia="宋体"/>
          <w:b w:val="0"/>
          <w:i w:val="0"/>
          <w:sz w:val="21"/>
        </w:rPr>
        <w:t>第一，横截面数据的因果限制。本研究采用横截面调查数据，所有变量在同一时间点测量，因果推断的可靠性有限。AI新闻接触经验与AI技术信任之间是否存在反向因果无法在现有设计中加以排除。未来研究可采用追踪研究或实验设计，以更严格地检验因果方向。</w:t>
      </w:r>
    </w:p>
    <w:p w14:paraId="136D3357">
      <w:pPr>
        <w:keepNext w:val="0"/>
        <w:keepLines w:val="0"/>
        <w:spacing w:before="120" w:after="120" w:line="240" w:lineRule="auto"/>
        <w:ind w:firstLine="420"/>
        <w:jc w:val="both"/>
      </w:pPr>
      <w:r>
        <w:rPr>
          <w:rFonts w:ascii="Times New Roman" w:hAnsi="Times New Roman" w:eastAsia="宋体"/>
          <w:b w:val="0"/>
          <w:i w:val="0"/>
          <w:sz w:val="21"/>
        </w:rPr>
        <w:t>第二，接触频率的操作化局限。以自报的接触频率作为启发式处理路径的代理指标，存在概念对应不精确的问题。未来研究可引入需要认知量表（NFC）直接测量加工深度，或参考姚琳和周赟（2022）区分新闻类型的思路，考察不同内容情境下接触经验效应的差异化</w:t>
      </w:r>
      <w:r>
        <w:rPr>
          <w:rFonts w:ascii="Times New Roman" w:hAnsi="Times New Roman" w:eastAsia="宋体"/>
          <w:b w:val="0"/>
          <w:i w:val="0"/>
          <w:sz w:val="16"/>
          <w:vertAlign w:val="superscript"/>
        </w:rPr>
        <w:t>[10]</w:t>
      </w:r>
      <w:r>
        <w:rPr>
          <w:rFonts w:ascii="Times New Roman" w:hAnsi="Times New Roman" w:eastAsia="宋体"/>
          <w:b w:val="0"/>
          <w:i w:val="0"/>
          <w:sz w:val="21"/>
        </w:rPr>
        <w:t>。</w:t>
      </w:r>
    </w:p>
    <w:p w14:paraId="21A60D40">
      <w:pPr>
        <w:keepNext w:val="0"/>
        <w:keepLines w:val="0"/>
        <w:spacing w:before="120" w:after="120" w:line="240" w:lineRule="auto"/>
        <w:ind w:firstLine="420"/>
        <w:jc w:val="both"/>
      </w:pPr>
      <w:r>
        <w:rPr>
          <w:rFonts w:ascii="Times New Roman" w:hAnsi="Times New Roman" w:eastAsia="宋体"/>
          <w:b w:val="0"/>
          <w:i w:val="0"/>
          <w:sz w:val="21"/>
        </w:rPr>
        <w:t>第三，样本代表性的限制。本研究样本以年轻、高学历、城市受众为主，对中国中老年群体和农村受众的代表性有限。Gondwe（2025）对非洲受众的研究提示，AI新闻信任的影响因素在不同社会文化背景下存在显著差异</w:t>
      </w:r>
      <w:r>
        <w:rPr>
          <w:rFonts w:ascii="Times New Roman" w:hAnsi="Times New Roman" w:eastAsia="宋体"/>
          <w:b w:val="0"/>
          <w:i w:val="0"/>
          <w:sz w:val="16"/>
          <w:vertAlign w:val="superscript"/>
        </w:rPr>
        <w:t>[6]</w:t>
      </w:r>
      <w:r>
        <w:rPr>
          <w:rFonts w:ascii="Times New Roman" w:hAnsi="Times New Roman" w:eastAsia="宋体"/>
          <w:b w:val="0"/>
          <w:i w:val="0"/>
          <w:sz w:val="21"/>
        </w:rPr>
        <w:t>，未来研究应在更具代表性的全国样本中重复验证本研究的结论。</w:t>
      </w:r>
    </w:p>
    <w:p w14:paraId="42E17C12">
      <w:pPr>
        <w:keepNext w:val="0"/>
        <w:keepLines w:val="0"/>
        <w:spacing w:before="120" w:after="120" w:line="240" w:lineRule="auto"/>
        <w:ind w:firstLine="420"/>
        <w:jc w:val="both"/>
      </w:pPr>
      <w:r>
        <w:rPr>
          <w:rFonts w:ascii="Times New Roman" w:hAnsi="Times New Roman" w:eastAsia="宋体"/>
          <w:b w:val="0"/>
          <w:i w:val="0"/>
          <w:sz w:val="21"/>
        </w:rPr>
        <w:t>第四，单一媒体情境的限制。本研究聚焦中国受众，中国独特的媒体制度、政治文化与AI发展生态可能影响研究结论的跨文化适用性。未来研究可开展跨国比较研究，检验双路径框架在不同媒体体制下的理论边界。</w:t>
      </w:r>
    </w:p>
    <w:p w14:paraId="58471DE9">
      <w:pPr>
        <w:keepNext w:val="0"/>
        <w:keepLines w:val="0"/>
        <w:spacing w:before="120" w:after="120" w:line="240" w:lineRule="auto"/>
        <w:ind w:firstLine="420"/>
        <w:jc w:val="both"/>
      </w:pPr>
      <w:r>
        <w:rPr>
          <w:rFonts w:ascii="Times New Roman" w:hAnsi="Times New Roman" w:eastAsia="宋体"/>
          <w:b w:val="0"/>
          <w:i w:val="0"/>
          <w:sz w:val="21"/>
        </w:rPr>
        <w:t>第五，AI素养量表的效度局限。本研究所用量表改编自Long与Magerko（2020），题项以技术理解与操作能力为主，对批判性反思、伦理评估等维度的覆盖相对有限。量表的这一结构性偏向，可能影响“AI素养”概念的测量完整性，进而影响遮掩效应的解释。未来研究应开发或采用更全面覆盖批判性维度的AI素养量表，以更精确地检验素养的双重作用。</w:t>
      </w:r>
    </w:p>
    <w:p w14:paraId="0000000C">
      <w:pPr>
        <w:keepNext w:val="0"/>
        <w:keepLines w:val="0"/>
        <w:spacing w:before="120" w:after="120" w:line="240" w:lineRule="auto"/>
        <w:ind w:firstLine="420"/>
        <w:jc w:val="both"/>
      </w:pPr>
      <w:r>
        <w:rPr>
          <w:rFonts w:ascii="Times New Roman" w:hAnsi="Times New Roman" w:eastAsia="宋体"/>
          <w:b w:val="0"/>
          <w:i w:val="0"/>
          <w:sz w:val="21"/>
        </w:rPr>
        <w:t>第六，共同方法偏差与区分效度的局限。本研究所有变量均由同一问卷在同一时间点采集，可能存在共同方法偏差（CMB）。此外，本研究仅报告了信度检验，未进行验证性因子分析（CFA）以检验各核心变量之间的区分效度。未来研究可通过Harman单因子检验或多特质多方法（MTMM）设计控制CMB，并通过CFA系统检验测量工具的结构效度。</w:t>
      </w:r>
    </w:p>
    <w:p w14:paraId="5D19BC24">
      <w:r>
        <w:br w:type="page"/>
      </w:r>
    </w:p>
    <w:p w14:paraId="7F896C66">
      <w:pPr>
        <w:pStyle w:val="3"/>
        <w:keepNext w:val="0"/>
        <w:keepLines w:val="0"/>
        <w:spacing w:before="360" w:after="240"/>
        <w:jc w:val="center"/>
      </w:pPr>
      <w:bookmarkStart w:id="50" w:name="_Toc51327670"/>
      <w:r>
        <w:rPr>
          <w:rFonts w:ascii="Times New Roman" w:hAnsi="Times New Roman" w:eastAsia="黑体"/>
          <w:b/>
          <w:i w:val="0"/>
          <w:color w:val="000000"/>
          <w:sz w:val="32"/>
        </w:rPr>
        <w:t>参考文献</w:t>
      </w:r>
      <w:bookmarkEnd w:id="50"/>
    </w:p>
    <w:p w14:paraId="1B45965D">
      <w:pPr>
        <w:keepNext w:val="0"/>
        <w:keepLines w:val="0"/>
        <w:spacing w:before="40" w:after="40" w:line="240" w:lineRule="auto"/>
        <w:jc w:val="both"/>
      </w:pPr>
      <w:r>
        <w:rPr>
          <w:rFonts w:ascii="Times New Roman" w:hAnsi="Times New Roman" w:eastAsia="KaiTi"/>
          <w:b w:val="0"/>
          <w:i w:val="0"/>
          <w:sz w:val="18"/>
        </w:rPr>
        <w:t>[1] 白红义,万旭琪. 迈向系统信任的数字新闻业:一个机器自主性的视角[J]. 新闻界,2025,(6):4-16.</w:t>
      </w:r>
    </w:p>
    <w:p w14:paraId="56FF4DAB">
      <w:pPr>
        <w:keepNext w:val="0"/>
        <w:keepLines w:val="0"/>
        <w:spacing w:before="40" w:after="40" w:line="240" w:lineRule="auto"/>
        <w:jc w:val="both"/>
      </w:pPr>
      <w:r>
        <w:rPr>
          <w:rFonts w:ascii="Times New Roman" w:hAnsi="Times New Roman" w:eastAsia="KaiTi"/>
          <w:b w:val="0"/>
          <w:i w:val="0"/>
          <w:sz w:val="18"/>
        </w:rPr>
        <w:t>[2] 陈昌凤,王金鹏. 人工智能成为新闻基础设施:技术动因、权力转移与信任重塑[J]. 新闻界,2025,(4):4-13.</w:t>
      </w:r>
    </w:p>
    <w:p w14:paraId="33E622EF">
      <w:pPr>
        <w:keepNext w:val="0"/>
        <w:keepLines w:val="0"/>
        <w:spacing w:before="40" w:after="40" w:line="240" w:lineRule="auto"/>
        <w:jc w:val="both"/>
      </w:pPr>
      <w:r>
        <w:rPr>
          <w:rFonts w:ascii="Times New Roman" w:hAnsi="Times New Roman" w:eastAsia="KaiTi"/>
          <w:b w:val="0"/>
          <w:i w:val="0"/>
          <w:sz w:val="18"/>
        </w:rPr>
        <w:t>[3] Wang S, Huang G. The impact of machine authorship on news audience perceptions: A meta-analysis of experimental studies[J]. Communication Research, 2024, 51(7): 815-842.</w:t>
      </w:r>
    </w:p>
    <w:p w14:paraId="2694D2E1">
      <w:pPr>
        <w:keepNext w:val="0"/>
        <w:keepLines w:val="0"/>
        <w:spacing w:before="40" w:after="40" w:line="240" w:lineRule="auto"/>
        <w:jc w:val="both"/>
      </w:pPr>
      <w:r>
        <w:rPr>
          <w:rFonts w:ascii="Times New Roman" w:hAnsi="Times New Roman" w:eastAsia="KaiTi"/>
          <w:b w:val="0"/>
          <w:i w:val="0"/>
          <w:sz w:val="18"/>
        </w:rPr>
        <w:t>[4] Toff B, Simon F M. “Or they could just not use it?”: The dilemma of AI disclosure for audience trust in news[J]. The International Journal of Press/Politics, 2025, 30(4): 881-903.</w:t>
      </w:r>
    </w:p>
    <w:p w14:paraId="79C593AC">
      <w:pPr>
        <w:keepNext w:val="0"/>
        <w:keepLines w:val="0"/>
        <w:spacing w:before="40" w:after="40" w:line="240" w:lineRule="auto"/>
        <w:jc w:val="both"/>
      </w:pPr>
      <w:r>
        <w:rPr>
          <w:rFonts w:ascii="Times New Roman" w:hAnsi="Times New Roman" w:eastAsia="KaiTi"/>
          <w:b w:val="0"/>
          <w:i w:val="0"/>
          <w:sz w:val="18"/>
        </w:rPr>
        <w:t>[5] Long D, Magerko B. What is AI literacy? Competencies and design considerations[C]//Proceedings of the 2020 CHI Conference on Human Factors in Computing Systems. New York: ACM, 2020: 1-16.</w:t>
      </w:r>
    </w:p>
    <w:p w14:paraId="6EB4E7F8">
      <w:pPr>
        <w:keepNext w:val="0"/>
        <w:keepLines w:val="0"/>
        <w:spacing w:before="40" w:after="40" w:line="240" w:lineRule="auto"/>
        <w:jc w:val="both"/>
      </w:pPr>
      <w:r>
        <w:rPr>
          <w:rFonts w:ascii="Times New Roman" w:hAnsi="Times New Roman" w:eastAsia="KaiTi"/>
          <w:b w:val="0"/>
          <w:i w:val="0"/>
          <w:sz w:val="18"/>
        </w:rPr>
        <w:t>[6] Gondwe G. Perceptions of AI-driven news among contemporary audiences: A study of trust, engagement, and impact[J]. AI &amp; SOCIETY, 2025, 40(7): 5637-5648.</w:t>
      </w:r>
    </w:p>
    <w:p w14:paraId="5F83B4F4">
      <w:pPr>
        <w:keepNext w:val="0"/>
        <w:keepLines w:val="0"/>
        <w:spacing w:before="40" w:after="40" w:line="240" w:lineRule="auto"/>
        <w:jc w:val="both"/>
      </w:pPr>
      <w:r>
        <w:rPr>
          <w:rFonts w:ascii="Times New Roman" w:hAnsi="Times New Roman" w:eastAsia="KaiTi"/>
          <w:b w:val="0"/>
          <w:i w:val="0"/>
          <w:sz w:val="18"/>
        </w:rPr>
        <w:t>[7] Sundar S S. The MAIN model: A heuristic approach to understanding technology effects on credibility[M]//MacArthur Foundation Digital Media and Learning Initiative. Cambridge: MIT Press, 2008: 73-100.</w:t>
      </w:r>
    </w:p>
    <w:p w14:paraId="7D44A643">
      <w:pPr>
        <w:keepNext w:val="0"/>
        <w:keepLines w:val="0"/>
        <w:spacing w:before="40" w:after="40" w:line="240" w:lineRule="auto"/>
        <w:jc w:val="both"/>
      </w:pPr>
      <w:r>
        <w:rPr>
          <w:rFonts w:ascii="Times New Roman" w:hAnsi="Times New Roman" w:eastAsia="KaiTi"/>
          <w:b w:val="0"/>
          <w:i w:val="0"/>
          <w:sz w:val="18"/>
        </w:rPr>
        <w:t>[8] 聂静虹,李肖</w:t>
      </w:r>
      <w:r>
        <w:rPr>
          <w:rFonts w:hint="eastAsia" w:ascii="Times New Roman" w:hAnsi="Times New Roman" w:eastAsia="KaiTi"/>
          <w:b w:val="0"/>
          <w:i w:val="0"/>
          <w:sz w:val="18"/>
          <w:lang w:val="en-US" w:eastAsia="zh-CN"/>
        </w:rPr>
        <w:t>楠</w:t>
      </w:r>
      <w:r>
        <w:rPr>
          <w:rFonts w:ascii="Times New Roman" w:hAnsi="Times New Roman" w:eastAsia="KaiTi"/>
          <w:b w:val="0"/>
          <w:i w:val="0"/>
          <w:sz w:val="18"/>
        </w:rPr>
        <w:t>. 抵御“智能幻象”:主流媒体内容生产中的AI幻觉与风险防范实践[J]. 新闻与写作,2025,(11):97-109.</w:t>
      </w:r>
    </w:p>
    <w:p w14:paraId="712276CB">
      <w:pPr>
        <w:keepNext w:val="0"/>
        <w:keepLines w:val="0"/>
        <w:spacing w:before="40" w:after="40" w:line="240" w:lineRule="auto"/>
        <w:jc w:val="both"/>
      </w:pPr>
      <w:r>
        <w:rPr>
          <w:rFonts w:ascii="Times New Roman" w:hAnsi="Times New Roman" w:eastAsia="KaiTi"/>
          <w:b w:val="0"/>
          <w:i w:val="0"/>
          <w:sz w:val="18"/>
        </w:rPr>
        <w:t>[9] Burgoon J K. Expectancy violations theory[M]//The International Encyclopedia of Interpersonal Communication. Hoboken: Wiley, 2015.</w:t>
      </w:r>
    </w:p>
    <w:p w14:paraId="489A6588">
      <w:pPr>
        <w:keepNext w:val="0"/>
        <w:keepLines w:val="0"/>
        <w:spacing w:before="40" w:after="40" w:line="240" w:lineRule="auto"/>
        <w:jc w:val="both"/>
      </w:pPr>
      <w:r>
        <w:rPr>
          <w:rFonts w:ascii="Times New Roman" w:hAnsi="Times New Roman" w:eastAsia="KaiTi"/>
          <w:b w:val="0"/>
          <w:i w:val="0"/>
          <w:sz w:val="18"/>
        </w:rPr>
        <w:t>[10] 姚琳,周赟. 主观还是客观:AI写作对新闻可信度的影响机制研究[J]. 现代传播(中国传媒大学学报),2022,44(10):127-135.</w:t>
      </w:r>
    </w:p>
    <w:p w14:paraId="332290E2">
      <w:pPr>
        <w:keepNext w:val="0"/>
        <w:keepLines w:val="0"/>
        <w:spacing w:before="40" w:after="40" w:line="240" w:lineRule="auto"/>
        <w:jc w:val="both"/>
      </w:pPr>
      <w:r>
        <w:rPr>
          <w:rFonts w:ascii="Times New Roman" w:hAnsi="Times New Roman" w:eastAsia="KaiTi"/>
          <w:b w:val="0"/>
          <w:i w:val="0"/>
          <w:sz w:val="18"/>
        </w:rPr>
        <w:t>[11] Chaiken S. Heuristic versus systematic information processing and the use of source versus message cues in persuasion[J]. Journal of Personality and Social Psychology, 1980, 39(5): 752-766.</w:t>
      </w:r>
    </w:p>
    <w:p w14:paraId="71EB2C23">
      <w:pPr>
        <w:keepNext w:val="0"/>
        <w:keepLines w:val="0"/>
        <w:spacing w:before="40" w:after="40" w:line="240" w:lineRule="auto"/>
        <w:jc w:val="both"/>
      </w:pPr>
      <w:r>
        <w:rPr>
          <w:rFonts w:ascii="Times New Roman" w:hAnsi="Times New Roman" w:eastAsia="KaiTi"/>
          <w:b w:val="0"/>
          <w:i w:val="0"/>
          <w:sz w:val="18"/>
        </w:rPr>
        <w:t>[12] Khalifa H K H. A conceptual review on heuristic systematic model in mass communication studies[J]. International Journal of Media and Mass Communication, 2022, 4(2): 164-175.</w:t>
      </w:r>
    </w:p>
    <w:p w14:paraId="40522C60">
      <w:pPr>
        <w:keepNext w:val="0"/>
        <w:keepLines w:val="0"/>
        <w:spacing w:before="40" w:after="40" w:line="240" w:lineRule="auto"/>
        <w:jc w:val="both"/>
      </w:pPr>
      <w:r>
        <w:rPr>
          <w:rFonts w:ascii="Times New Roman" w:hAnsi="Times New Roman" w:eastAsia="KaiTi"/>
          <w:b w:val="0"/>
          <w:i w:val="0"/>
          <w:sz w:val="18"/>
        </w:rPr>
        <w:t>[13] Borchardt A, Simon F M, Zachrison O, et al. Trusted journalism in the age of generative AI[R]. Geneva: European Broadcasting Union, 2024.</w:t>
      </w:r>
    </w:p>
    <w:p w14:paraId="4C5C0D09">
      <w:pPr>
        <w:keepNext w:val="0"/>
        <w:keepLines w:val="0"/>
        <w:spacing w:before="40" w:after="40" w:line="240" w:lineRule="auto"/>
        <w:jc w:val="both"/>
      </w:pPr>
      <w:r>
        <w:rPr>
          <w:rFonts w:ascii="Times New Roman" w:hAnsi="Times New Roman" w:eastAsia="KaiTi"/>
          <w:b w:val="0"/>
          <w:i w:val="0"/>
          <w:sz w:val="18"/>
        </w:rPr>
        <w:t>[14] 刘强,王琳. 假如AI欺骗了你？受众对新闻真实的认知、态度与后效行为研究[J]. 新闻与写作,2025,(3):84-98.</w:t>
      </w:r>
    </w:p>
    <w:p w14:paraId="7587C7E7">
      <w:pPr>
        <w:keepNext w:val="0"/>
        <w:keepLines w:val="0"/>
        <w:spacing w:before="40" w:after="40" w:line="240" w:lineRule="auto"/>
        <w:jc w:val="both"/>
      </w:pPr>
      <w:r>
        <w:rPr>
          <w:rFonts w:ascii="Times New Roman" w:hAnsi="Times New Roman" w:eastAsia="KaiTi"/>
          <w:b w:val="0"/>
          <w:i w:val="0"/>
          <w:sz w:val="18"/>
        </w:rPr>
        <w:t>[15] Hayes A F. Introduction to mediation, moderation, and conditional process analysis: A regression-based approach[M]. 2nd ed. New York: Guilford Press, 2018.</w:t>
      </w:r>
    </w:p>
    <w:p w14:paraId="4541404D">
      <w:r>
        <w:br w:type="page"/>
      </w:r>
    </w:p>
    <w:p w14:paraId="2B7A8795">
      <w:pPr>
        <w:pStyle w:val="3"/>
        <w:bidi w:val="0"/>
        <w:jc w:val="center"/>
      </w:pPr>
      <w:bookmarkStart w:id="51" w:name="_Toc1523207243"/>
      <w:r>
        <w:t>致　谢</w:t>
      </w:r>
      <w:bookmarkEnd w:id="51"/>
    </w:p>
    <w:p w14:paraId="0074A785">
      <w:pPr>
        <w:keepNext w:val="0"/>
        <w:keepLines w:val="0"/>
        <w:spacing w:before="120" w:after="120" w:line="240" w:lineRule="auto"/>
        <w:ind w:firstLine="420"/>
        <w:jc w:val="both"/>
      </w:pPr>
      <w:r>
        <w:rPr>
          <w:rFonts w:ascii="Times New Roman" w:hAnsi="Times New Roman" w:eastAsia="宋体"/>
          <w:b w:val="0"/>
          <w:i w:val="0"/>
          <w:sz w:val="21"/>
        </w:rPr>
        <w:t>感谢</w:t>
      </w:r>
      <w:r>
        <w:rPr>
          <w:rFonts w:hint="eastAsia"/>
          <w:b w:val="0"/>
          <w:i w:val="0"/>
          <w:sz w:val="21"/>
          <w:lang w:val="en-US" w:eastAsia="zh-CN"/>
        </w:rPr>
        <w:t>我的导师虞鑫老师</w:t>
      </w:r>
      <w:r>
        <w:rPr>
          <w:rFonts w:ascii="Times New Roman" w:hAnsi="Times New Roman" w:eastAsia="宋体"/>
          <w:b w:val="0"/>
          <w:i w:val="0"/>
          <w:sz w:val="21"/>
        </w:rPr>
        <w:t>在选题</w:t>
      </w:r>
      <w:r>
        <w:rPr>
          <w:rFonts w:hint="eastAsia"/>
          <w:b w:val="0"/>
          <w:i w:val="0"/>
          <w:sz w:val="21"/>
          <w:lang w:eastAsia="zh-CN"/>
        </w:rPr>
        <w:t>、</w:t>
      </w:r>
      <w:r>
        <w:rPr>
          <w:rFonts w:ascii="Times New Roman" w:hAnsi="Times New Roman" w:eastAsia="宋体"/>
          <w:b w:val="0"/>
          <w:i w:val="0"/>
          <w:sz w:val="21"/>
        </w:rPr>
        <w:t>研究设计和写作各阶段的悉心指导。感谢课题组</w:t>
      </w:r>
      <w:r>
        <w:rPr>
          <w:rFonts w:hint="eastAsia"/>
          <w:b w:val="0"/>
          <w:i w:val="0"/>
          <w:sz w:val="21"/>
          <w:lang w:val="en-US" w:eastAsia="zh-CN"/>
        </w:rPr>
        <w:t>王毅博士</w:t>
      </w:r>
      <w:r>
        <w:rPr>
          <w:rFonts w:ascii="Times New Roman" w:hAnsi="Times New Roman" w:eastAsia="宋体"/>
          <w:b w:val="0"/>
          <w:i w:val="0"/>
          <w:sz w:val="21"/>
        </w:rPr>
        <w:t>在数据分析和理论框架方面的帮助</w:t>
      </w:r>
      <w:r>
        <w:rPr>
          <w:rFonts w:hint="eastAsia"/>
          <w:b w:val="0"/>
          <w:i w:val="0"/>
          <w:sz w:val="21"/>
          <w:lang w:eastAsia="zh-CN"/>
        </w:rPr>
        <w:t>，</w:t>
      </w:r>
      <w:r>
        <w:rPr>
          <w:rFonts w:ascii="Times New Roman" w:hAnsi="Times New Roman" w:eastAsia="宋体"/>
          <w:b w:val="0"/>
          <w:i w:val="0"/>
          <w:sz w:val="21"/>
        </w:rPr>
        <w:t>感谢</w:t>
      </w:r>
      <w:r>
        <w:rPr>
          <w:rFonts w:hint="eastAsia"/>
          <w:b w:val="0"/>
          <w:i w:val="0"/>
          <w:sz w:val="21"/>
          <w:lang w:val="en-US" w:eastAsia="zh-CN"/>
        </w:rPr>
        <w:t>我的朋友沈光萍</w:t>
      </w:r>
      <w:r>
        <w:rPr>
          <w:rFonts w:ascii="Times New Roman" w:hAnsi="Times New Roman" w:eastAsia="宋体"/>
          <w:b w:val="0"/>
          <w:i w:val="0"/>
          <w:sz w:val="21"/>
        </w:rPr>
        <w:t>在文献梳理过程中的讨论与启发。本研究数据来源于课题组全球新闻学调研项目</w:t>
      </w:r>
      <w:r>
        <w:rPr>
          <w:rFonts w:hint="eastAsia"/>
          <w:b w:val="0"/>
          <w:i w:val="0"/>
          <w:sz w:val="21"/>
          <w:lang w:eastAsia="zh-CN"/>
        </w:rPr>
        <w:t>，</w:t>
      </w:r>
      <w:r>
        <w:rPr>
          <w:rFonts w:ascii="Times New Roman" w:hAnsi="Times New Roman" w:eastAsia="宋体"/>
          <w:b w:val="0"/>
          <w:i w:val="0"/>
          <w:sz w:val="21"/>
        </w:rPr>
        <w:t>特此致谢。</w:t>
      </w:r>
    </w:p>
    <w:p w14:paraId="EA010001">
      <w:r>
        <w:br w:type="page"/>
      </w:r>
    </w:p>
    <w:p w14:paraId="1250E697">
      <w:pPr>
        <w:pStyle w:val="3"/>
        <w:bidi w:val="0"/>
        <w:jc w:val="center"/>
        <w:rPr>
          <w:rFonts w:hint="default"/>
        </w:rPr>
      </w:pPr>
      <w:bookmarkStart w:id="52" w:name="_Toc391577214"/>
      <w:r>
        <w:rPr>
          <w:rFonts w:hint="default"/>
        </w:rPr>
        <w:t>ABSTRACT</w:t>
      </w:r>
      <w:bookmarkEnd w:id="52"/>
    </w:p>
    <w:p w14:paraId="EA010002">
      <w:pPr>
        <w:spacing w:before="120" w:after="120" w:line="240" w:lineRule="auto"/>
        <w:jc w:val="both"/>
      </w:pPr>
      <w:r>
        <w:rPr>
          <w:rFonts w:ascii="Times New Roman" w:hAnsi="Times New Roman" w:eastAsia="Times New Roman"/>
          <w:sz w:val="21"/>
          <w:szCs w:val="21"/>
        </w:rPr>
        <w:t>【</w:t>
      </w:r>
      <w:r>
        <w:rPr>
          <w:rFonts w:ascii="Times New Roman" w:hAnsi="Times New Roman" w:eastAsia="Times New Roman"/>
          <w:b/>
          <w:bCs/>
          <w:sz w:val="24"/>
          <w:szCs w:val="24"/>
        </w:rPr>
        <w:t>Abstract</w:t>
      </w:r>
      <w:r>
        <w:rPr>
          <w:rFonts w:ascii="Times New Roman" w:hAnsi="Times New Roman" w:eastAsia="Times New Roman"/>
          <w:sz w:val="21"/>
          <w:szCs w:val="21"/>
        </w:rPr>
        <w:t>】 With the widespread application of artificial intelligence technology in news production, audience trust in AI-generated news has become an increasingly important topic in academic research. Existing studies have explored the factors influencing AI news trust from cognitive and behavioral dimensions respectively, yet few have incorporated AI literacy and AI news exposure experience into the same analytical framework for systematic comparison. Based on Chinese audience survey data (N=904), this study employs the Heuristic-Systematic Model (HSM) as the theoretical framework and constructs a moderated mediation model with AI technology trust as the mediator and media trust as the moderator. The findings reveal that: (1) higher AI literacy is associated with stronger AI technology trust and positively related to AI news trust; (2) higher AI news exposure frequency is associated with weaker AI technology trust and negatively related to AI news trust; (3) both pathways operate through the mediation of AI technology trust; (4) media trust negatively moderates the effect of AI news exposure frequency on AI technology trust, such that audiences with higher media trust exhibit a stronger negative association between frequent AI news exposure and AI technology trust. These findings illuminate the differentiated mechanisms through which cognitive and experiential factors shape AI news trust, providing preliminary empirical reference for news organizations’ AI application strategies.</w:t>
      </w:r>
    </w:p>
    <w:p w14:paraId="EA010003">
      <w:pPr>
        <w:spacing w:before="120" w:after="120" w:line="240" w:lineRule="auto"/>
        <w:jc w:val="both"/>
      </w:pPr>
      <w:r>
        <w:rPr>
          <w:rFonts w:ascii="Times New Roman" w:hAnsi="Times New Roman" w:eastAsia="Times New Roman"/>
          <w:sz w:val="21"/>
          <w:szCs w:val="21"/>
        </w:rPr>
        <w:t>【</w:t>
      </w:r>
      <w:r>
        <w:rPr>
          <w:rFonts w:ascii="Times New Roman" w:hAnsi="Times New Roman" w:eastAsia="Times New Roman"/>
          <w:b/>
          <w:bCs/>
          <w:sz w:val="24"/>
          <w:szCs w:val="24"/>
        </w:rPr>
        <w:t>Key words</w:t>
      </w:r>
      <w:r>
        <w:rPr>
          <w:rFonts w:ascii="Times New Roman" w:hAnsi="Times New Roman" w:eastAsia="Times New Roman"/>
          <w:sz w:val="21"/>
          <w:szCs w:val="21"/>
        </w:rPr>
        <w:t>】 AI literacy; AI news trust; AI technology trust; media trust</w:t>
      </w:r>
    </w:p>
    <w:p w14:paraId="65EB1533"/>
    <w:sectPr>
      <w:headerReference w:type="first" r:id="rId11"/>
      <w:headerReference w:type="default" r:id="rId12"/>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华文行楷">
    <w:altName w:val="行楷-简"/>
    <w:panose1 w:val="02010800040101010101"/>
    <w:charset w:val="00"/>
    <w:family w:val="auto"/>
    <w:pitch w:val="default"/>
    <w:sig w:usb0="00000000" w:usb1="00000000" w:usb2="00000010" w:usb3="00000000" w:csb0="00040000" w:csb1="00000000"/>
  </w:font>
  <w:font w:name="行楷-简">
    <w:panose1 w:val="02010800040101010101"/>
    <w:charset w:val="86"/>
    <w:family w:val="auto"/>
    <w:pitch w:val="default"/>
    <w:sig w:usb0="00000001" w:usb1="080F0000" w:usb2="0000000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KaiTi">
    <w:altName w:val="汉仪楷体KW"/>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1" name="Picture 1"/>
          <wp:cNvGraphicFramePr>
            <a:graphicFrameLocks noChangeAspect="1"/>
          </wp:cNvGraphicFramePr>
          <a:graphic>
            <a:graphicData uri="http://schemas.openxmlformats.org/drawingml/2006/picture">
              <pic:pic>
                <pic:nvPicPr>
                  <pic:cNvPr id="0" name="2530fe77-9c98-4949-8fa4-885f002e14f4_tile.png"/>
                  <pic:cNvPicPr/>
                </pic:nvPicPr>
                <pic:blipFill>
                  <a:blip r:embed="rId1"/>
                  <a:stretch>
                    <a:fillRect/>
                  </a:stretch>
                </pic:blipFill>
                <pic:spPr>
                  <a:xfrm>
                    <a:off x="0" y="0"/>
                    <a:ext cx="7560310" cy="10686085"/>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2530fe77-9c98-4949-8fa4-885f002e14f4_tile.png"/>
                  <pic:cNvPicPr/>
                </pic:nvPicPr>
                <pic:blipFill>
                  <a:blip r:embed="rId1"/>
                  <a:stretch>
                    <a:fillRect/>
                  </a:stretch>
                </pic:blipFill>
                <pic:spPr>
                  <a:xfrm>
                    <a:off x="0" y="0"/>
                    <a:ext cx="7564587" cy="1069213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66691A"/>
    <w:rsid w:val="5ABC8762"/>
    <w:rsid w:val="6EFB3C9D"/>
    <w:rsid w:val="6F5C9C48"/>
    <w:rsid w:val="771F5270"/>
    <w:rsid w:val="7CFF5F56"/>
    <w:rsid w:val="7DFEF118"/>
    <w:rsid w:val="7F7560DF"/>
    <w:rsid w:val="94E36B61"/>
    <w:rsid w:val="DF5BA56E"/>
    <w:rsid w:val="ECBFFE1C"/>
    <w:rsid w:val="FAFD298B"/>
    <w:rsid w:val="FDFE7F2B"/>
    <w:rsid w:val="FF7FC553"/>
    <w:rsid w:val="FFEAB4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1"/>
    </w:rPr>
  </w:style>
  <w:style w:type="paragraph" w:styleId="3">
    <w:name w:val="heading 1"/>
    <w:basedOn w:val="1"/>
    <w:next w:val="1"/>
    <w:link w:val="142"/>
    <w:qFormat/>
    <w:uiPriority w:val="9"/>
    <w:pPr>
      <w:keepNext/>
      <w:keepLines/>
      <w:spacing w:before="480" w:after="0"/>
      <w:outlineLvl w:val="0"/>
    </w:pPr>
    <w:rPr>
      <w:rFonts w:ascii="Times New Roman" w:hAnsi="Times New Roman" w:eastAsia="黑体"/>
      <w:b/>
      <w:bCs/>
      <w:sz w:val="32"/>
      <w:szCs w:val="32"/>
    </w:rPr>
  </w:style>
  <w:style w:type="paragraph" w:styleId="4">
    <w:name w:val="heading 2"/>
    <w:basedOn w:val="1"/>
    <w:next w:val="1"/>
    <w:link w:val="143"/>
    <w:unhideWhenUsed/>
    <w:qFormat/>
    <w:uiPriority w:val="9"/>
    <w:pPr>
      <w:keepNext/>
      <w:keepLines/>
      <w:spacing w:before="200" w:after="0"/>
      <w:outlineLvl w:val="1"/>
    </w:pPr>
    <w:rPr>
      <w:rFonts w:ascii="Times New Roman" w:hAnsi="Times New Roman" w:eastAsia="黑体"/>
      <w:b/>
      <w:bCs/>
      <w:sz w:val="30"/>
      <w:szCs w:val="30"/>
    </w:rPr>
  </w:style>
  <w:style w:type="paragraph" w:styleId="5">
    <w:name w:val="heading 3"/>
    <w:basedOn w:val="1"/>
    <w:next w:val="1"/>
    <w:link w:val="144"/>
    <w:unhideWhenUsed/>
    <w:qFormat/>
    <w:uiPriority w:val="9"/>
    <w:pPr>
      <w:keepNext/>
      <w:keepLines/>
      <w:spacing w:before="200" w:after="0"/>
      <w:outlineLvl w:val="2"/>
    </w:pPr>
    <w:rPr>
      <w:rFonts w:ascii="Times New Roman" w:hAnsi="Times New Roman" w:eastAsia="黑体"/>
      <w:b/>
      <w:bCs/>
      <w:sz w:val="28"/>
      <w:szCs w:val="28"/>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page number"/>
    <w:basedOn w:val="135"/>
    <w:uiPriority w:val="0"/>
  </w:style>
  <w:style w:type="character" w:styleId="138">
    <w:name w:val="Emphasis"/>
    <w:basedOn w:val="135"/>
    <w:qFormat/>
    <w:uiPriority w:val="20"/>
    <w:rPr>
      <w:i/>
      <w:iCs/>
    </w:rPr>
  </w:style>
  <w:style w:type="character" w:customStyle="1" w:styleId="139">
    <w:name w:val="Header Char"/>
    <w:basedOn w:val="135"/>
    <w:link w:val="26"/>
    <w:uiPriority w:val="99"/>
  </w:style>
  <w:style w:type="character" w:customStyle="1" w:styleId="140">
    <w:name w:val="Footer Char"/>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uiPriority w:val="99"/>
  </w:style>
  <w:style w:type="character" w:customStyle="1" w:styleId="149">
    <w:name w:val="Body Text 2 Char"/>
    <w:basedOn w:val="135"/>
    <w:link w:val="31"/>
    <w:uiPriority w:val="99"/>
  </w:style>
  <w:style w:type="character" w:customStyle="1" w:styleId="150">
    <w:name w:val="Body Text 3 Char"/>
    <w:basedOn w:val="135"/>
    <w:link w:val="17"/>
    <w:uiPriority w:val="99"/>
    <w:rPr>
      <w:sz w:val="16"/>
      <w:szCs w:val="16"/>
    </w:rPr>
  </w:style>
  <w:style w:type="character" w:customStyle="1" w:styleId="151">
    <w:name w:val="Macro Text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uiPriority w:val="29"/>
    <w:rPr>
      <w:i/>
      <w:iCs/>
      <w:color w:val="000000" w:themeColor="text1"/>
      <w14:textFill>
        <w14:solidFill>
          <w14:schemeClr w14:val="tx1"/>
        </w14:solidFill>
      </w14:textFill>
    </w:rPr>
  </w:style>
  <w:style w:type="character" w:customStyle="1" w:styleId="154">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 Id="rId1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12</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2013-12-27T15:15:00Z</dcterms:created>
  <dc:creator>python-docx</dc:creator>
  <dc:description>﻿﻿﻿﻿​﻿⁢﻿﻿﻿﻿﻿﻿﻿﻿﻿﻿﻿﻿﻿⁣⁣⁠⁡‌⁢‌⁣generated by python-docx</dc:description>
  <cp:lastModifiedBy>WPS_1563448755</cp:lastModifiedBy>
  <dcterms:modified xsi:type="dcterms:W3CDTF">2026-04-20T15:29:00Z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2111304548C13FA7B6D2C369DE98A182_42</vt:lpwstr>
  </property>
</Properties>
</file>