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before="0" w:line="276"/>
      </w:pPr>
      <w:r>
        <w:rPr>
          <w:rFonts w:ascii="Arial" w:cs="Arial" w:eastAsia="Arial" w:hAnsi="Arial"/>
          <w:color w:val="2C3E50"/>
          <w:sz w:val="22"/>
          <w:szCs w:val="22"/>
        </w:rPr>
        <w:t xml:space="preserve"/>
      </w:r>
    </w:p>
    <w:p>
      <w:pPr>
        <w:spacing w:after="200" w:before="0" w:line="276"/>
        <w:jc w:val="center"/>
      </w:pPr>
      <w:r>
        <w:rPr>
          <w:rFonts w:ascii="Arial" w:cs="Arial" w:eastAsia="Arial" w:hAnsi="Arial"/>
          <w:b/>
          <w:bCs/>
          <w:color w:val="1B2A4A"/>
          <w:sz w:val="52"/>
          <w:szCs w:val="52"/>
        </w:rPr>
        <w:t xml:space="preserve">ASSAY MANAGER AI</w:t>
      </w:r>
    </w:p>
    <w:p>
      <w:pPr>
        <w:spacing w:after="600" w:before="0" w:line="276"/>
        <w:jc w:val="center"/>
      </w:pPr>
      <w:r>
        <w:rPr>
          <w:rFonts w:ascii="Arial" w:cs="Arial" w:eastAsia="Arial" w:hAnsi="Arial"/>
          <w:i/>
          <w:iCs/>
          <w:color w:val="C9963B"/>
          <w:sz w:val="32"/>
          <w:szCs w:val="32"/>
        </w:rPr>
        <w:t xml:space="preserve">Strategic Improvement Proposal</w:t>
      </w:r>
    </w:p>
    <w:p>
      <w:pPr>
        <w:pBdr>
          <w:bottom w:val="single" w:color="C9963B" w:sz="6" w:space="8"/>
        </w:pBdr>
        <w:spacing w:after="600"/>
        <w:jc w:val="center"/>
      </w:pPr>
    </w:p>
    <w:p>
      <w:pPr>
        <w:spacing w:after="200" w:before="0" w:line="276"/>
        <w:jc w:val="center"/>
      </w:pPr>
      <w:r>
        <w:rPr>
          <w:rFonts w:ascii="Arial" w:cs="Arial" w:eastAsia="Arial" w:hAnsi="Arial"/>
          <w:color w:val="5D6D7E"/>
          <w:sz w:val="24"/>
          <w:szCs w:val="24"/>
        </w:rPr>
        <w:t xml:space="preserve">Code Review, Architecture Assessment &amp; Growth Roadmap</w:t>
      </w:r>
    </w:p>
    <w:p>
      <w:pPr>
        <w:spacing w:after="100" w:before="0" w:line="276"/>
        <w:jc w:val="center"/>
      </w:pPr>
      <w:r>
        <w:rPr>
          <w:rFonts w:ascii="Arial" w:cs="Arial" w:eastAsia="Arial" w:hAnsi="Arial"/>
          <w:color w:val="5D6D7E"/>
          <w:sz w:val="24"/>
          <w:szCs w:val="24"/>
        </w:rPr>
        <w:t xml:space="preserve">Prepared for Gautham Pai</w:t>
      </w:r>
    </w:p>
    <w:p>
      <w:pPr>
        <w:spacing w:after="3000" w:before="0" w:line="276"/>
        <w:jc w:val="center"/>
      </w:pPr>
      <w:r>
        <w:rPr>
          <w:rFonts w:ascii="Arial" w:cs="Arial" w:eastAsia="Arial" w:hAnsi="Arial"/>
          <w:color w:val="7F8C8D"/>
          <w:sz w:val="22"/>
          <w:szCs w:val="22"/>
        </w:rPr>
        <w:t xml:space="preserve">April 8, 2026</w:t>
      </w:r>
    </w:p>
    <w:p>
      <w:pPr>
        <w:spacing w:after="0" w:before="0" w:line="276"/>
        <w:jc w:val="center"/>
      </w:pPr>
      <w:r>
        <w:rPr>
          <w:rFonts w:ascii="Arial" w:cs="Arial" w:eastAsia="Arial" w:hAnsi="Arial"/>
          <w:b/>
          <w:bCs/>
          <w:color w:val="C0392B"/>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after="160" w:before="0" w:line="276"/>
      </w:pPr>
      <w:r>
        <w:rPr>
          <w:rFonts w:ascii="Arial" w:cs="Arial" w:eastAsia="Arial" w:hAnsi="Arial"/>
          <w:color w:val="2C3E50"/>
          <w:sz w:val="22"/>
          <w:szCs w:val="22"/>
        </w:rPr>
        <w:t xml:space="preserve">1. Executive Summary</w:t>
      </w:r>
    </w:p>
    <w:p>
      <w:pPr>
        <w:spacing w:after="160" w:before="0" w:line="276"/>
      </w:pPr>
      <w:r>
        <w:rPr>
          <w:rFonts w:ascii="Arial" w:cs="Arial" w:eastAsia="Arial" w:hAnsi="Arial"/>
          <w:color w:val="2C3E50"/>
          <w:sz w:val="22"/>
          <w:szCs w:val="22"/>
        </w:rPr>
        <w:t xml:space="preserve">Assay Manager AI is an ambitious, well-conceived platform that turns job interviews into data-driven, multi-perspective assessments. It uses a "chamber of assessors" model (think of it as a panel of specialized experts, each examining the same interview from a different angle) to produce rich, defensible hiring reports. The core architecture is sound and the visual polish is premium-grade.</w:t>
      </w:r>
    </w:p>
    <w:p>
      <w:pPr>
        <w:spacing w:after="160" w:before="0" w:line="276"/>
      </w:pPr>
      <w:r>
        <w:rPr>
          <w:rFonts w:ascii="Arial" w:cs="Arial" w:eastAsia="Arial" w:hAnsi="Arial"/>
          <w:color w:val="2C3E50"/>
          <w:sz w:val="22"/>
          <w:szCs w:val="22"/>
        </w:rPr>
        <w:t xml:space="preserve">This report identifies ten strategic themes that, taken together, will transform Assay from a promising prototype into a production-grade, scalable product. The recommendations are ordered by their risk-reduction and value-creation potential, and none require breaking existing functionality.</w:t>
      </w:r>
    </w:p>
    <w:p>
      <w:pPr>
        <w:spacing w:after="160" w:before="0" w:line="276"/>
      </w:pPr>
      <w:r>
        <w:rPr>
          <w:rFonts w:ascii="Arial" w:cs="Arial" w:eastAsia="Arial" w:hAnsi="Arial"/>
          <w:b/>
          <w:bCs/>
          <w:color w:val="2C3E50"/>
          <w:sz w:val="22"/>
          <w:szCs w:val="22"/>
        </w:rPr>
        <w:t xml:space="preserve">Current strengths: </w:t>
      </w:r>
      <w:r>
        <w:rPr>
          <w:rFonts w:ascii="Arial" w:cs="Arial" w:eastAsia="Arial" w:hAnsi="Arial"/>
          <w:color w:val="2C3E50"/>
          <w:sz w:val="22"/>
          <w:szCs w:val="22"/>
        </w:rPr>
        <w:t xml:space="preserve">Multi-LLM assessor chamber with fallback chains, real-time Gemini Live voice interviews, emotion/prosody analysis via Hume, candidate intelligence dossier system, iOS-ready Capacitor build, and polished glassmorphism UI.</w:t>
      </w:r>
    </w:p>
    <w:p>
      <w:pPr>
        <w:spacing w:after="160" w:before="0" w:line="276"/>
      </w:pPr>
      <w:r>
        <w:rPr>
          <w:rFonts w:ascii="Arial" w:cs="Arial" w:eastAsia="Arial" w:hAnsi="Arial"/>
          <w:b/>
          <w:bCs/>
          <w:color w:val="2C3E50"/>
          <w:sz w:val="22"/>
          <w:szCs w:val="22"/>
        </w:rPr>
        <w:t xml:space="preserve">Key risks: </w:t>
      </w:r>
      <w:r>
        <w:rPr>
          <w:rFonts w:ascii="Arial" w:cs="Arial" w:eastAsia="Arial" w:hAnsi="Arial"/>
          <w:color w:val="2C3E50"/>
          <w:sz w:val="22"/>
          <w:szCs w:val="22"/>
        </w:rPr>
        <w:t xml:space="preserve">Zero test coverage, no input validation, fire-and-forget data syncing, missing rate limiting on public endpoints, and no structured logging or observability.</w:t>
      </w:r>
    </w:p>
    <w:p>
      <w:r>
        <w:br w:type="page"/>
      </w:r>
    </w:p>
    <w:p>
      <w:pPr>
        <w:pStyle w:val="Heading1"/>
        <w:spacing w:after="160" w:before="0" w:line="276"/>
      </w:pPr>
      <w:r>
        <w:rPr>
          <w:rFonts w:ascii="Arial" w:cs="Arial" w:eastAsia="Arial" w:hAnsi="Arial"/>
          <w:color w:val="2C3E50"/>
          <w:sz w:val="22"/>
          <w:szCs w:val="22"/>
        </w:rPr>
        <w:t xml:space="preserve">2. Architecture Assessment</w:t>
      </w:r>
    </w:p>
    <w:p>
      <w:pPr>
        <w:pStyle w:val="Heading2"/>
        <w:spacing w:after="160" w:before="0" w:line="276"/>
      </w:pPr>
      <w:r>
        <w:rPr>
          <w:rFonts w:ascii="Arial" w:cs="Arial" w:eastAsia="Arial" w:hAnsi="Arial"/>
          <w:color w:val="2C3E50"/>
          <w:sz w:val="22"/>
          <w:szCs w:val="22"/>
        </w:rPr>
        <w:t xml:space="preserve">2.1 What You Have Today</w:t>
      </w:r>
    </w:p>
    <w:p>
      <w:pPr>
        <w:spacing w:after="160" w:before="0" w:line="276"/>
      </w:pPr>
      <w:r>
        <w:rPr>
          <w:rFonts w:ascii="Arial" w:cs="Arial" w:eastAsia="Arial" w:hAnsi="Arial"/>
          <w:color w:val="2C3E50"/>
          <w:sz w:val="22"/>
          <w:szCs w:val="22"/>
        </w:rPr>
        <w:t xml:space="preserve">The system is a pnpm monorepo with two packages: an Express v5 API server (TypeScript, Prisma ORM, PostgreSQL) and a React/Vite frontend (Zustand state, Wouter routing, Capacitor for iOS). Docker Compose orchestrates both services in production.</w:t>
      </w:r>
    </w:p>
    <w:p>
      <w:pPr>
        <w:spacing w:after="160" w:before="0" w:line="276"/>
      </w:pPr>
      <w:r>
        <w:rPr>
          <w:rFonts w:ascii="Arial" w:cs="Arial" w:eastAsia="Arial" w:hAnsi="Arial"/>
          <w:color w:val="2C3E50"/>
          <w:sz w:val="22"/>
          <w:szCs w:val="22"/>
        </w:rPr>
        <w:t xml:space="preserve">Think of the architecture like a courtroom: the frontend is the courtroom where the interview takes place, the API server is the clerk managing evidence and procedures, and the five AI assessors are expert witnesses who independently analyze the same testimony.</w:t>
      </w:r>
    </w:p>
    <w:p>
      <w:pPr>
        <w:pStyle w:val="Heading2"/>
        <w:spacing w:after="160" w:before="0" w:line="276"/>
      </w:pPr>
      <w:r>
        <w:rPr>
          <w:rFonts w:ascii="Arial" w:cs="Arial" w:eastAsia="Arial" w:hAnsi="Arial"/>
          <w:color w:val="2C3E50"/>
          <w:sz w:val="22"/>
          <w:szCs w:val="22"/>
        </w:rPr>
        <w:t xml:space="preserve">2.2 Data Model Highlights</w:t>
      </w:r>
    </w:p>
    <w:p>
      <w:pPr>
        <w:pStyle w:val="ListParagraph"/>
        <w:numPr>
          <w:ilvl w:val="0"/>
          <w:numId w:val="2"/>
        </w:numPr>
        <w:spacing w:after="80" w:line="276"/>
      </w:pPr>
      <w:r>
        <w:rPr>
          <w:rFonts w:ascii="Arial" w:cs="Arial" w:eastAsia="Arial" w:hAnsi="Arial"/>
          <w:b/>
          <w:bCs/>
          <w:color w:val="2C3E50"/>
          <w:sz w:val="22"/>
          <w:szCs w:val="22"/>
        </w:rPr>
        <w:t xml:space="preserve">Multi-tenant by design: </w:t>
      </w:r>
      <w:r>
        <w:rPr>
          <w:rFonts w:ascii="Arial" w:cs="Arial" w:eastAsia="Arial" w:hAnsi="Arial"/>
          <w:color w:val="2C3E50"/>
          <w:sz w:val="22"/>
          <w:szCs w:val="22"/>
        </w:rPr>
        <w:t xml:space="preserve">Organizations own Users, Candidates, Sessions, and Reports. Four roles (owner, admin, interviewer, viewer) control access.</w:t>
      </w:r>
    </w:p>
    <w:p>
      <w:pPr>
        <w:pStyle w:val="ListParagraph"/>
        <w:numPr>
          <w:ilvl w:val="0"/>
          <w:numId w:val="2"/>
        </w:numPr>
        <w:spacing w:after="80" w:line="276"/>
      </w:pPr>
      <w:r>
        <w:rPr>
          <w:rFonts w:ascii="Arial" w:cs="Arial" w:eastAsia="Arial" w:hAnsi="Arial"/>
          <w:b/>
          <w:bCs/>
          <w:color w:val="2C3E50"/>
          <w:sz w:val="22"/>
          <w:szCs w:val="22"/>
        </w:rPr>
        <w:t xml:space="preserve">Candidate Intelligence pipeline: </w:t>
      </w:r>
      <w:r>
        <w:rPr>
          <w:rFonts w:ascii="Arial" w:cs="Arial" w:eastAsia="Arial" w:hAnsi="Arial"/>
          <w:color w:val="2C3E50"/>
          <w:sz w:val="22"/>
          <w:szCs w:val="22"/>
        </w:rPr>
        <w:t xml:space="preserve">Documents (resume, portfolio), CandidateIntelligence records (AI-generated analyses), Notes, and References all feed into a compileDossier() function that creates a cross-referenced briefing for assessors.</w:t>
      </w:r>
    </w:p>
    <w:p>
      <w:pPr>
        <w:pStyle w:val="ListParagraph"/>
        <w:numPr>
          <w:ilvl w:val="0"/>
          <w:numId w:val="2"/>
        </w:numPr>
        <w:spacing w:after="80" w:line="276"/>
      </w:pPr>
      <w:r>
        <w:rPr>
          <w:rFonts w:ascii="Arial" w:cs="Arial" w:eastAsia="Arial" w:hAnsi="Arial"/>
          <w:b/>
          <w:bCs/>
          <w:color w:val="2C3E50"/>
          <w:sz w:val="22"/>
          <w:szCs w:val="22"/>
        </w:rPr>
        <w:t xml:space="preserve">Gap — Session ownership: </w:t>
      </w:r>
      <w:r>
        <w:rPr>
          <w:rFonts w:ascii="Arial" w:cs="Arial" w:eastAsia="Arial" w:hAnsi="Arial"/>
          <w:color w:val="2C3E50"/>
          <w:sz w:val="22"/>
          <w:szCs w:val="22"/>
        </w:rPr>
        <w:t xml:space="preserve">InterviewSession has no createdById field. Any org member can see all sessions. This is a privacy and audit concern.</w:t>
      </w:r>
    </w:p>
    <w:p>
      <w:pPr>
        <w:pStyle w:val="ListParagraph"/>
        <w:numPr>
          <w:ilvl w:val="0"/>
          <w:numId w:val="2"/>
        </w:numPr>
        <w:spacing w:after="80" w:line="276"/>
      </w:pPr>
      <w:r>
        <w:rPr>
          <w:rFonts w:ascii="Arial" w:cs="Arial" w:eastAsia="Arial" w:hAnsi="Arial"/>
          <w:b/>
          <w:bCs/>
          <w:color w:val="2C3E50"/>
          <w:sz w:val="22"/>
          <w:szCs w:val="22"/>
        </w:rPr>
        <w:t xml:space="preserve">Gap — Soft deletes missing: </w:t>
      </w:r>
      <w:r>
        <w:rPr>
          <w:rFonts w:ascii="Arial" w:cs="Arial" w:eastAsia="Arial" w:hAnsi="Arial"/>
          <w:color w:val="2C3E50"/>
          <w:sz w:val="22"/>
          <w:szCs w:val="22"/>
        </w:rPr>
        <w:t xml:space="preserve">All deletes are hard deletes. No recovery from accidental removal of candidates, reports, or sessions.</w:t>
      </w:r>
    </w:p>
    <w:p>
      <w:pPr>
        <w:pStyle w:val="Heading2"/>
        <w:spacing w:after="160" w:before="0" w:line="276"/>
      </w:pPr>
      <w:r>
        <w:rPr>
          <w:rFonts w:ascii="Arial" w:cs="Arial" w:eastAsia="Arial" w:hAnsi="Arial"/>
          <w:color w:val="2C3E50"/>
          <w:sz w:val="22"/>
          <w:szCs w:val="22"/>
        </w:rPr>
        <w:t xml:space="preserve">2.3 AI/LLM Integration</w:t>
      </w:r>
    </w:p>
    <w:p>
      <w:pPr>
        <w:spacing w:after="160" w:before="0" w:line="276"/>
      </w:pPr>
      <w:r>
        <w:rPr>
          <w:rFonts w:ascii="Arial" w:cs="Arial" w:eastAsia="Arial" w:hAnsi="Arial"/>
          <w:color w:val="2C3E50"/>
          <w:sz w:val="22"/>
          <w:szCs w:val="22"/>
        </w:rPr>
        <w:t xml:space="preserve">The five-assessor chamber is the heart of the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Assessor</w:t>
            </w:r>
          </w:p>
        </w:tc>
        <w:tc>
          <w:tcPr>
            <w:tcW w:type="dxa" w:w="180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 LLM</w:t>
            </w:r>
          </w:p>
        </w:tc>
        <w:tc>
          <w:tcPr>
            <w:tcW w:type="dxa" w:w="576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Focus Area</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Advocate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Claude Opus</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Finds genuine strengths with charitable interpretation</w:t>
            </w:r>
          </w:p>
        </w:tc>
      </w:tr>
      <w:tr>
        <w:tc>
          <w:tcPr>
            <w:tcW w:type="dxa" w:w="18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Prosecutor</w:t>
            </w:r>
          </w:p>
        </w:tc>
        <w:tc>
          <w:tcPr>
            <w:tcW w:type="dxa" w:w="18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Claude Opus</w:t>
            </w:r>
          </w:p>
        </w:tc>
        <w:tc>
          <w:tcPr>
            <w:tcW w:type="dxa" w:w="57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Stress-tests claims, detects deception via pronoun forensics</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Psychologist</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GPT-5.4</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Dark Triad screening, cognitive load analysis</w:t>
            </w:r>
          </w:p>
        </w:tc>
      </w:tr>
      <w:tr>
        <w:tc>
          <w:tcPr>
            <w:tcW w:type="dxa" w:w="18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Operator</w:t>
            </w:r>
          </w:p>
        </w:tc>
        <w:tc>
          <w:tcPr>
            <w:tcW w:type="dxa" w:w="18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Claude Opus</w:t>
            </w:r>
          </w:p>
        </w:tc>
        <w:tc>
          <w:tcPr>
            <w:tcW w:type="dxa" w:w="57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Execution reality, builder instinct, financial literacy</w:t>
            </w:r>
          </w:p>
        </w:tc>
      </w:tr>
      <w:tr>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2C3E50"/>
                <w:sz w:val="20"/>
                <w:szCs w:val="20"/>
              </w:rPr>
              <w:t xml:space="preserve">Culture Probe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Gemini Flash</w:t>
            </w:r>
          </w:p>
        </w:tc>
        <w:tc>
          <w:tcPr>
            <w:tcW w:type="dxa" w:w="5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Culture-add signals, harm pattern detection</w:t>
            </w:r>
          </w:p>
        </w:tc>
      </w:tr>
    </w:tbl>
    <w:p>
      <w:pPr>
        <w:spacing w:after="80" w:before="0" w:line="276"/>
      </w:pPr>
      <w:r>
        <w:rPr>
          <w:rFonts w:ascii="Arial" w:cs="Arial" w:eastAsia="Arial" w:hAnsi="Arial"/>
          <w:color w:val="2C3E50"/>
          <w:sz w:val="22"/>
          <w:szCs w:val="22"/>
        </w:rPr>
        <w:t xml:space="preserve"/>
      </w:r>
    </w:p>
    <w:p>
      <w:pPr>
        <w:spacing w:after="160" w:before="0" w:line="276"/>
      </w:pPr>
      <w:r>
        <w:rPr>
          <w:rFonts w:ascii="Arial" w:cs="Arial" w:eastAsia="Arial" w:hAnsi="Arial"/>
          <w:color w:val="2C3E50"/>
          <w:sz w:val="22"/>
          <w:szCs w:val="22"/>
        </w:rPr>
        <w:t xml:space="preserve">A "Chairman" synthesis agent aggregates verdicts using majority voting plus confidence weighting. The system uses Promise.allSettled() with 60-second timeouts and a fallback chain (primary model fails → Claude Sonnet → GPT-5.4).</w:t>
      </w:r>
    </w:p>
    <w:p>
      <w:pPr>
        <w:spacing w:after="160" w:before="0" w:line="276"/>
      </w:pPr>
      <w:r>
        <w:rPr>
          <w:rFonts w:ascii="Arial" w:cs="Arial" w:eastAsia="Arial" w:hAnsi="Arial"/>
          <w:b/>
          <w:bCs/>
          <w:color w:val="2C3E50"/>
          <w:sz w:val="22"/>
          <w:szCs w:val="22"/>
        </w:rPr>
        <w:t xml:space="preserve">Key insight: </w:t>
      </w:r>
      <w:r>
        <w:rPr>
          <w:rFonts w:ascii="Arial" w:cs="Arial" w:eastAsia="Arial" w:hAnsi="Arial"/>
          <w:color w:val="2C3E50"/>
          <w:sz w:val="22"/>
          <w:szCs w:val="22"/>
        </w:rPr>
        <w:t xml:space="preserve">This multi-model architecture is a genuine differentiator. Most competitors use a single LLM. Having specialized perspectives from different model families reduces single-vendor bias.</w:t>
      </w:r>
    </w:p>
    <w:p>
      <w:r>
        <w:br w:type="page"/>
      </w:r>
    </w:p>
    <w:p>
      <w:pPr>
        <w:pStyle w:val="Heading1"/>
        <w:spacing w:after="160" w:before="0" w:line="276"/>
      </w:pPr>
      <w:r>
        <w:rPr>
          <w:rFonts w:ascii="Arial" w:cs="Arial" w:eastAsia="Arial" w:hAnsi="Arial"/>
          <w:color w:val="2C3E50"/>
          <w:sz w:val="22"/>
          <w:szCs w:val="22"/>
        </w:rPr>
        <w:t xml:space="preserve">3. Usability: Making It Frictionless</w:t>
      </w:r>
    </w:p>
    <w:p>
      <w:pPr>
        <w:spacing w:after="160" w:before="0" w:line="276"/>
      </w:pPr>
      <w:r>
        <w:rPr>
          <w:rFonts w:ascii="Arial" w:cs="Arial" w:eastAsia="Arial" w:hAnsi="Arial"/>
          <w:color w:val="2C3E50"/>
          <w:sz w:val="22"/>
          <w:szCs w:val="22"/>
        </w:rPr>
        <w:t xml:space="preserve">The current UX is visually impressive (animated aurora backgrounds, luminous voice orb) but has friction points that would frustrate organizational users at scale.</w:t>
      </w:r>
    </w:p>
    <w:p>
      <w:pPr>
        <w:pStyle w:val="Heading2"/>
        <w:spacing w:after="160" w:before="0" w:line="276"/>
      </w:pPr>
      <w:r>
        <w:rPr>
          <w:rFonts w:ascii="Arial" w:cs="Arial" w:eastAsia="Arial" w:hAnsi="Arial"/>
          <w:color w:val="2C3E50"/>
          <w:sz w:val="22"/>
          <w:szCs w:val="22"/>
        </w:rPr>
        <w:t xml:space="preserve">3.1 Onboarding &amp; First-Run</w:t>
      </w:r>
    </w:p>
    <w:p>
      <w:pPr>
        <w:pStyle w:val="ListParagraph"/>
        <w:numPr>
          <w:ilvl w:val="0"/>
          <w:numId w:val="2"/>
        </w:numPr>
        <w:spacing w:after="80" w:line="276"/>
      </w:pPr>
      <w:r>
        <w:rPr>
          <w:rFonts w:ascii="Arial" w:cs="Arial" w:eastAsia="Arial" w:hAnsi="Arial"/>
          <w:b/>
          <w:bCs/>
          <w:color w:val="2C3E50"/>
          <w:sz w:val="22"/>
          <w:szCs w:val="22"/>
        </w:rPr>
        <w:t xml:space="preserve">Problem: </w:t>
      </w:r>
      <w:r>
        <w:rPr>
          <w:rFonts w:ascii="Arial" w:cs="Arial" w:eastAsia="Arial" w:hAnsi="Arial"/>
          <w:color w:val="2C3E50"/>
          <w:sz w:val="22"/>
          <w:szCs w:val="22"/>
        </w:rPr>
        <w:t xml:space="preserve">First user who registers becomes owner with no verification. Anyone who finds the URL first controls the organization.</w:t>
      </w:r>
    </w:p>
    <w:p>
      <w:pPr>
        <w:pStyle w:val="ListParagraph"/>
        <w:numPr>
          <w:ilvl w:val="0"/>
          <w:numId w:val="2"/>
        </w:numPr>
        <w:spacing w:after="80" w:line="276"/>
      </w:pPr>
      <w:r>
        <w:rPr>
          <w:rFonts w:ascii="Arial" w:cs="Arial" w:eastAsia="Arial" w:hAnsi="Arial"/>
          <w:b/>
          <w:bCs/>
          <w:color w:val="2C3E50"/>
          <w:sz w:val="22"/>
          <w:szCs w:val="22"/>
        </w:rPr>
        <w:t xml:space="preserve">Fix: </w:t>
      </w:r>
      <w:r>
        <w:rPr>
          <w:rFonts w:ascii="Arial" w:cs="Arial" w:eastAsia="Arial" w:hAnsi="Arial"/>
          <w:color w:val="2C3E50"/>
          <w:sz w:val="22"/>
          <w:szCs w:val="22"/>
        </w:rPr>
        <w:t xml:space="preserve">Add email verification + organization claim flow. The first user creates an org by name, confirms via email, then invites others.</w:t>
      </w:r>
    </w:p>
    <w:p>
      <w:pPr>
        <w:pStyle w:val="ListParagraph"/>
        <w:numPr>
          <w:ilvl w:val="0"/>
          <w:numId w:val="2"/>
        </w:numPr>
        <w:spacing w:after="80" w:line="276"/>
      </w:pPr>
      <w:r>
        <w:rPr>
          <w:rFonts w:ascii="Arial" w:cs="Arial" w:eastAsia="Arial" w:hAnsi="Arial"/>
          <w:b/>
          <w:bCs/>
          <w:color w:val="2C3E50"/>
          <w:sz w:val="22"/>
          <w:szCs w:val="22"/>
        </w:rPr>
        <w:t xml:space="preserve">Problem: </w:t>
      </w:r>
      <w:r>
        <w:rPr>
          <w:rFonts w:ascii="Arial" w:cs="Arial" w:eastAsia="Arial" w:hAnsi="Arial"/>
          <w:color w:val="2C3E50"/>
          <w:sz w:val="22"/>
          <w:szCs w:val="22"/>
        </w:rPr>
        <w:t xml:space="preserve">No guided setup wizard. New users land on a dashboard with zero context about the assessment model.</w:t>
      </w:r>
    </w:p>
    <w:p>
      <w:pPr>
        <w:pStyle w:val="ListParagraph"/>
        <w:numPr>
          <w:ilvl w:val="0"/>
          <w:numId w:val="2"/>
        </w:numPr>
        <w:spacing w:after="80" w:line="276"/>
      </w:pPr>
      <w:r>
        <w:rPr>
          <w:rFonts w:ascii="Arial" w:cs="Arial" w:eastAsia="Arial" w:hAnsi="Arial"/>
          <w:b/>
          <w:bCs/>
          <w:color w:val="2C3E50"/>
          <w:sz w:val="22"/>
          <w:szCs w:val="22"/>
        </w:rPr>
        <w:t xml:space="preserve">Fix: </w:t>
      </w:r>
      <w:r>
        <w:rPr>
          <w:rFonts w:ascii="Arial" w:cs="Arial" w:eastAsia="Arial" w:hAnsi="Arial"/>
          <w:color w:val="2C3E50"/>
          <w:sz w:val="22"/>
          <w:szCs w:val="22"/>
        </w:rPr>
        <w:t xml:space="preserve">Interactive onboarding tour (3 slides: "How Assay Works" → "Set Up Your First Interview" → "Understanding Reports") with a sample report to explore.</w:t>
      </w:r>
    </w:p>
    <w:p>
      <w:pPr>
        <w:pStyle w:val="Heading2"/>
        <w:spacing w:after="160" w:before="0" w:line="276"/>
      </w:pPr>
      <w:r>
        <w:rPr>
          <w:rFonts w:ascii="Arial" w:cs="Arial" w:eastAsia="Arial" w:hAnsi="Arial"/>
          <w:color w:val="2C3E50"/>
          <w:sz w:val="22"/>
          <w:szCs w:val="22"/>
        </w:rPr>
        <w:t xml:space="preserve">3.2 Interview Setup</w:t>
      </w:r>
    </w:p>
    <w:p>
      <w:pPr>
        <w:pStyle w:val="ListParagraph"/>
        <w:numPr>
          <w:ilvl w:val="0"/>
          <w:numId w:val="2"/>
        </w:numPr>
        <w:spacing w:after="80" w:line="276"/>
      </w:pPr>
      <w:r>
        <w:rPr>
          <w:rFonts w:ascii="Arial" w:cs="Arial" w:eastAsia="Arial" w:hAnsi="Arial"/>
          <w:b/>
          <w:bCs/>
          <w:color w:val="2C3E50"/>
          <w:sz w:val="22"/>
          <w:szCs w:val="22"/>
        </w:rPr>
        <w:t xml:space="preserve">Problem: </w:t>
      </w:r>
      <w:r>
        <w:rPr>
          <w:rFonts w:ascii="Arial" w:cs="Arial" w:eastAsia="Arial" w:hAnsi="Arial"/>
          <w:color w:val="2C3E50"/>
          <w:sz w:val="22"/>
          <w:szCs w:val="22"/>
        </w:rPr>
        <w:t xml:space="preserve">Gate selection (core vs. psychological) is expert-level UI. Users must understand what each gate measures before toggling.</w:t>
      </w:r>
    </w:p>
    <w:p>
      <w:pPr>
        <w:pStyle w:val="ListParagraph"/>
        <w:numPr>
          <w:ilvl w:val="0"/>
          <w:numId w:val="2"/>
        </w:numPr>
        <w:spacing w:after="80" w:line="276"/>
      </w:pPr>
      <w:r>
        <w:rPr>
          <w:rFonts w:ascii="Arial" w:cs="Arial" w:eastAsia="Arial" w:hAnsi="Arial"/>
          <w:b/>
          <w:bCs/>
          <w:color w:val="2C3E50"/>
          <w:sz w:val="22"/>
          <w:szCs w:val="22"/>
        </w:rPr>
        <w:t xml:space="preserve">Fix: </w:t>
      </w:r>
      <w:r>
        <w:rPr>
          <w:rFonts w:ascii="Arial" w:cs="Arial" w:eastAsia="Arial" w:hAnsi="Arial"/>
          <w:color w:val="2C3E50"/>
          <w:sz w:val="22"/>
          <w:szCs w:val="22"/>
        </w:rPr>
        <w:t xml:space="preserve">Replace with role-based presets ("Engineering Manager", "Sales Director", "Entry-Level IC") that auto-configure gates. Let power users customize.</w:t>
      </w:r>
    </w:p>
    <w:p>
      <w:pPr>
        <w:pStyle w:val="Heading2"/>
        <w:spacing w:after="160" w:before="0" w:line="276"/>
      </w:pPr>
      <w:r>
        <w:rPr>
          <w:rFonts w:ascii="Arial" w:cs="Arial" w:eastAsia="Arial" w:hAnsi="Arial"/>
          <w:color w:val="2C3E50"/>
          <w:sz w:val="22"/>
          <w:szCs w:val="22"/>
        </w:rPr>
        <w:t xml:space="preserve">3.3 Data Resilience</w:t>
      </w:r>
    </w:p>
    <w:p>
      <w:pPr>
        <w:pStyle w:val="ListParagraph"/>
        <w:numPr>
          <w:ilvl w:val="0"/>
          <w:numId w:val="2"/>
        </w:numPr>
        <w:spacing w:after="80" w:line="276"/>
      </w:pPr>
      <w:r>
        <w:rPr>
          <w:rFonts w:ascii="Arial" w:cs="Arial" w:eastAsia="Arial" w:hAnsi="Arial"/>
          <w:b/>
          <w:bCs/>
          <w:color w:val="2C3E50"/>
          <w:sz w:val="22"/>
          <w:szCs w:val="22"/>
        </w:rPr>
        <w:t xml:space="preserve">Problem: </w:t>
      </w:r>
      <w:r>
        <w:rPr>
          <w:rFonts w:ascii="Arial" w:cs="Arial" w:eastAsia="Arial" w:hAnsi="Arial"/>
          <w:color w:val="2C3E50"/>
          <w:sz w:val="22"/>
          <w:szCs w:val="22"/>
        </w:rPr>
        <w:t xml:space="preserve">Transcript and observation writes to the server are fire-and-forget. If the network blips mid-interview, data is silently lost.</w:t>
      </w:r>
    </w:p>
    <w:p>
      <w:pPr>
        <w:pStyle w:val="ListParagraph"/>
        <w:numPr>
          <w:ilvl w:val="0"/>
          <w:numId w:val="2"/>
        </w:numPr>
        <w:spacing w:after="80" w:line="276"/>
      </w:pPr>
      <w:r>
        <w:rPr>
          <w:rFonts w:ascii="Arial" w:cs="Arial" w:eastAsia="Arial" w:hAnsi="Arial"/>
          <w:b/>
          <w:bCs/>
          <w:color w:val="2C3E50"/>
          <w:sz w:val="22"/>
          <w:szCs w:val="22"/>
        </w:rPr>
        <w:t xml:space="preserve">Fix: </w:t>
      </w:r>
      <w:r>
        <w:rPr>
          <w:rFonts w:ascii="Arial" w:cs="Arial" w:eastAsia="Arial" w:hAnsi="Arial"/>
          <w:color w:val="2C3E50"/>
          <w:sz w:val="22"/>
          <w:szCs w:val="22"/>
        </w:rPr>
        <w:t xml:space="preserve">Implement a write-ahead log in IndexedDB. Buffer all transcript entries locally, sync to server in background, show sync status indicator. This also enables offline interview mode for mobile.</w:t>
      </w:r>
    </w:p>
    <w:p>
      <w:pPr>
        <w:pStyle w:val="Heading2"/>
        <w:spacing w:after="160" w:before="0" w:line="276"/>
      </w:pPr>
      <w:r>
        <w:rPr>
          <w:rFonts w:ascii="Arial" w:cs="Arial" w:eastAsia="Arial" w:hAnsi="Arial"/>
          <w:color w:val="2C3E50"/>
          <w:sz w:val="22"/>
          <w:szCs w:val="22"/>
        </w:rPr>
        <w:t xml:space="preserve">3.4 Report Consumption</w:t>
      </w:r>
    </w:p>
    <w:p>
      <w:pPr>
        <w:pStyle w:val="ListParagraph"/>
        <w:numPr>
          <w:ilvl w:val="0"/>
          <w:numId w:val="2"/>
        </w:numPr>
        <w:spacing w:after="80" w:line="276"/>
      </w:pPr>
      <w:r>
        <w:rPr>
          <w:rFonts w:ascii="Arial" w:cs="Arial" w:eastAsia="Arial" w:hAnsi="Arial"/>
          <w:b/>
          <w:bCs/>
          <w:color w:val="2C3E50"/>
          <w:sz w:val="22"/>
          <w:szCs w:val="22"/>
        </w:rPr>
        <w:t xml:space="preserve">Problem: </w:t>
      </w:r>
      <w:r>
        <w:rPr>
          <w:rFonts w:ascii="Arial" w:cs="Arial" w:eastAsia="Arial" w:hAnsi="Arial"/>
          <w:color w:val="2C3E50"/>
          <w:sz w:val="22"/>
          <w:szCs w:val="22"/>
        </w:rPr>
        <w:t xml:space="preserve">Reports are single-page scrolls mixing high-level verdict with deep signal analysis. Executives want the headline; interviewers want the details.</w:t>
      </w:r>
    </w:p>
    <w:p>
      <w:pPr>
        <w:pStyle w:val="ListParagraph"/>
        <w:numPr>
          <w:ilvl w:val="0"/>
          <w:numId w:val="2"/>
        </w:numPr>
        <w:spacing w:after="80" w:line="276"/>
      </w:pPr>
      <w:r>
        <w:rPr>
          <w:rFonts w:ascii="Arial" w:cs="Arial" w:eastAsia="Arial" w:hAnsi="Arial"/>
          <w:b/>
          <w:bCs/>
          <w:color w:val="2C3E50"/>
          <w:sz w:val="22"/>
          <w:szCs w:val="22"/>
        </w:rPr>
        <w:t xml:space="preserve">Fix: </w:t>
      </w:r>
      <w:r>
        <w:rPr>
          <w:rFonts w:ascii="Arial" w:cs="Arial" w:eastAsia="Arial" w:hAnsi="Arial"/>
          <w:color w:val="2C3E50"/>
          <w:sz w:val="22"/>
          <w:szCs w:val="22"/>
        </w:rPr>
        <w:t xml:space="preserve">Progressive disclosure: executive summary card (pass/fail, top 3 signals, risk flags) on top, expandable deep-dive sections below. Different PDF export profiles for different audiences.</w:t>
      </w:r>
    </w:p>
    <w:p>
      <w:r>
        <w:br w:type="page"/>
      </w:r>
    </w:p>
    <w:p>
      <w:pPr>
        <w:pStyle w:val="Heading1"/>
        <w:spacing w:after="160" w:before="0" w:line="276"/>
      </w:pPr>
      <w:r>
        <w:rPr>
          <w:rFonts w:ascii="Arial" w:cs="Arial" w:eastAsia="Arial" w:hAnsi="Arial"/>
          <w:color w:val="2C3E50"/>
          <w:sz w:val="22"/>
          <w:szCs w:val="22"/>
        </w:rPr>
        <w:t xml:space="preserve">4. Feature Enrichment: Interviews &amp; Reports</w:t>
      </w:r>
    </w:p>
    <w:p>
      <w:pPr>
        <w:pStyle w:val="Heading2"/>
        <w:spacing w:after="160" w:before="0" w:line="276"/>
      </w:pPr>
      <w:r>
        <w:rPr>
          <w:rFonts w:ascii="Arial" w:cs="Arial" w:eastAsia="Arial" w:hAnsi="Arial"/>
          <w:color w:val="2C3E50"/>
          <w:sz w:val="22"/>
          <w:szCs w:val="22"/>
        </w:rPr>
        <w:t xml:space="preserve">4.1 Structured Interview Protocols</w:t>
      </w:r>
    </w:p>
    <w:p>
      <w:pPr>
        <w:spacing w:after="160" w:before="0" w:line="276"/>
      </w:pPr>
      <w:r>
        <w:rPr>
          <w:rFonts w:ascii="Arial" w:cs="Arial" w:eastAsia="Arial" w:hAnsi="Arial"/>
          <w:color w:val="2C3E50"/>
          <w:sz w:val="22"/>
          <w:szCs w:val="22"/>
        </w:rPr>
        <w:t xml:space="preserve">Currently, the Gemini Live interview is free-form conversational. While this feels natural, it makes cross-candidate comparison hard because different candidates discuss different topics.</w:t>
      </w:r>
    </w:p>
    <w:p>
      <w:pPr>
        <w:pStyle w:val="ListParagraph"/>
        <w:numPr>
          <w:ilvl w:val="0"/>
          <w:numId w:val="2"/>
        </w:numPr>
        <w:spacing w:after="80" w:line="276"/>
      </w:pPr>
      <w:r>
        <w:rPr>
          <w:rFonts w:ascii="Arial" w:cs="Arial" w:eastAsia="Arial" w:hAnsi="Arial"/>
          <w:b/>
          <w:bCs/>
          <w:color w:val="2C3E50"/>
          <w:sz w:val="22"/>
          <w:szCs w:val="22"/>
        </w:rPr>
        <w:t xml:space="preserve">Proposal: </w:t>
      </w:r>
      <w:r>
        <w:rPr>
          <w:rFonts w:ascii="Arial" w:cs="Arial" w:eastAsia="Arial" w:hAnsi="Arial"/>
          <w:color w:val="2C3E50"/>
          <w:sz w:val="22"/>
          <w:szCs w:val="22"/>
        </w:rPr>
        <w:t xml:space="preserve">Add optional "interview scaffolds" (think of it as a flexible setlist for a musician): required topics (must cover), recommended probes (should cover if time allows), and forbidden areas (legal compliance). The AI interviewer follows the scaffold while keeping conversation natural.</w:t>
      </w:r>
    </w:p>
    <w:p>
      <w:pPr>
        <w:pStyle w:val="Heading2"/>
        <w:spacing w:after="160" w:before="0" w:line="276"/>
      </w:pPr>
      <w:r>
        <w:rPr>
          <w:rFonts w:ascii="Arial" w:cs="Arial" w:eastAsia="Arial" w:hAnsi="Arial"/>
          <w:color w:val="2C3E50"/>
          <w:sz w:val="22"/>
          <w:szCs w:val="22"/>
        </w:rPr>
        <w:t xml:space="preserve">4.2 Multi-Modal Evidence</w:t>
      </w:r>
    </w:p>
    <w:p>
      <w:pPr>
        <w:pStyle w:val="ListParagraph"/>
        <w:numPr>
          <w:ilvl w:val="0"/>
          <w:numId w:val="2"/>
        </w:numPr>
        <w:spacing w:after="80" w:line="276"/>
      </w:pPr>
      <w:r>
        <w:rPr>
          <w:rFonts w:ascii="Arial" w:cs="Arial" w:eastAsia="Arial" w:hAnsi="Arial"/>
          <w:b/>
          <w:bCs/>
          <w:color w:val="2C3E50"/>
          <w:sz w:val="22"/>
          <w:szCs w:val="22"/>
        </w:rPr>
        <w:t xml:space="preserve">Code challenges: </w:t>
      </w:r>
      <w:r>
        <w:rPr>
          <w:rFonts w:ascii="Arial" w:cs="Arial" w:eastAsia="Arial" w:hAnsi="Arial"/>
          <w:color w:val="2C3E50"/>
          <w:sz w:val="22"/>
          <w:szCs w:val="22"/>
        </w:rPr>
        <w:t xml:space="preserve">For technical roles, embed a lightweight code editor (Monaco) where candidates solve a problem while the AI watches. The assessors can then evaluate both the conversation and the code artifact.</w:t>
      </w:r>
    </w:p>
    <w:p>
      <w:pPr>
        <w:pStyle w:val="ListParagraph"/>
        <w:numPr>
          <w:ilvl w:val="0"/>
          <w:numId w:val="2"/>
        </w:numPr>
        <w:spacing w:after="80" w:line="276"/>
      </w:pPr>
      <w:r>
        <w:rPr>
          <w:rFonts w:ascii="Arial" w:cs="Arial" w:eastAsia="Arial" w:hAnsi="Arial"/>
          <w:b/>
          <w:bCs/>
          <w:color w:val="2C3E50"/>
          <w:sz w:val="22"/>
          <w:szCs w:val="22"/>
        </w:rPr>
        <w:t xml:space="preserve">Case presentations: </w:t>
      </w:r>
      <w:r>
        <w:rPr>
          <w:rFonts w:ascii="Arial" w:cs="Arial" w:eastAsia="Arial" w:hAnsi="Arial"/>
          <w:color w:val="2C3E50"/>
          <w:sz w:val="22"/>
          <w:szCs w:val="22"/>
        </w:rPr>
        <w:t xml:space="preserve">Allow candidates to share their screen or upload slides. The AI can ask follow-up questions about what it sees.</w:t>
      </w:r>
    </w:p>
    <w:p>
      <w:pPr>
        <w:pStyle w:val="ListParagraph"/>
        <w:numPr>
          <w:ilvl w:val="0"/>
          <w:numId w:val="2"/>
        </w:numPr>
        <w:spacing w:after="80" w:line="276"/>
      </w:pPr>
      <w:r>
        <w:rPr>
          <w:rFonts w:ascii="Arial" w:cs="Arial" w:eastAsia="Arial" w:hAnsi="Arial"/>
          <w:b/>
          <w:bCs/>
          <w:color w:val="2C3E50"/>
          <w:sz w:val="22"/>
          <w:szCs w:val="22"/>
        </w:rPr>
        <w:t xml:space="preserve">Async video responses: </w:t>
      </w:r>
      <w:r>
        <w:rPr>
          <w:rFonts w:ascii="Arial" w:cs="Arial" w:eastAsia="Arial" w:hAnsi="Arial"/>
          <w:color w:val="2C3E50"/>
          <w:sz w:val="22"/>
          <w:szCs w:val="22"/>
        </w:rPr>
        <w:t xml:space="preserve">For initial screening, send candidates 3–5 video questions. They record responses at their convenience. Assessors analyze asynchronously.</w:t>
      </w:r>
    </w:p>
    <w:p>
      <w:pPr>
        <w:pStyle w:val="Heading2"/>
        <w:spacing w:after="160" w:before="0" w:line="276"/>
      </w:pPr>
      <w:r>
        <w:rPr>
          <w:rFonts w:ascii="Arial" w:cs="Arial" w:eastAsia="Arial" w:hAnsi="Arial"/>
          <w:color w:val="2C3E50"/>
          <w:sz w:val="22"/>
          <w:szCs w:val="22"/>
        </w:rPr>
        <w:t xml:space="preserve">4.3 Report Enrichment</w:t>
      </w:r>
    </w:p>
    <w:p>
      <w:pPr>
        <w:pStyle w:val="ListParagraph"/>
        <w:numPr>
          <w:ilvl w:val="0"/>
          <w:numId w:val="2"/>
        </w:numPr>
        <w:spacing w:after="80" w:line="276"/>
      </w:pPr>
      <w:r>
        <w:rPr>
          <w:rFonts w:ascii="Arial" w:cs="Arial" w:eastAsia="Arial" w:hAnsi="Arial"/>
          <w:b/>
          <w:bCs/>
          <w:color w:val="2C3E50"/>
          <w:sz w:val="22"/>
          <w:szCs w:val="22"/>
        </w:rPr>
        <w:t xml:space="preserve">Comparative scoring: </w:t>
      </w:r>
      <w:r>
        <w:rPr>
          <w:rFonts w:ascii="Arial" w:cs="Arial" w:eastAsia="Arial" w:hAnsi="Arial"/>
          <w:color w:val="2C3E50"/>
          <w:sz w:val="22"/>
          <w:szCs w:val="22"/>
        </w:rPr>
        <w:t xml:space="preserve">When multiple candidates are assessed for the same role, auto-generate a comparison matrix showing relative strengths. You have CandidateComparePage already — elevate it with percentile rankings.</w:t>
      </w:r>
    </w:p>
    <w:p>
      <w:pPr>
        <w:pStyle w:val="ListParagraph"/>
        <w:numPr>
          <w:ilvl w:val="0"/>
          <w:numId w:val="2"/>
        </w:numPr>
        <w:spacing w:after="80" w:line="276"/>
      </w:pPr>
      <w:r>
        <w:rPr>
          <w:rFonts w:ascii="Arial" w:cs="Arial" w:eastAsia="Arial" w:hAnsi="Arial"/>
          <w:b/>
          <w:bCs/>
          <w:color w:val="2C3E50"/>
          <w:sz w:val="22"/>
          <w:szCs w:val="22"/>
        </w:rPr>
        <w:t xml:space="preserve">Predictive signals: </w:t>
      </w:r>
      <w:r>
        <w:rPr>
          <w:rFonts w:ascii="Arial" w:cs="Arial" w:eastAsia="Arial" w:hAnsi="Arial"/>
          <w:color w:val="2C3E50"/>
          <w:sz w:val="22"/>
          <w:szCs w:val="22"/>
        </w:rPr>
        <w:t xml:space="preserve">Use the feedback loop (ReportFeedback) to build a calibration model over time. After 50+ interviews with outcome data, the system could flag "Candidates with this pattern have 80% success rate in role X."</w:t>
      </w:r>
    </w:p>
    <w:p>
      <w:pPr>
        <w:pStyle w:val="ListParagraph"/>
        <w:numPr>
          <w:ilvl w:val="0"/>
          <w:numId w:val="2"/>
        </w:numPr>
        <w:spacing w:after="80" w:line="276"/>
      </w:pPr>
      <w:r>
        <w:rPr>
          <w:rFonts w:ascii="Arial" w:cs="Arial" w:eastAsia="Arial" w:hAnsi="Arial"/>
          <w:b/>
          <w:bCs/>
          <w:color w:val="2C3E50"/>
          <w:sz w:val="22"/>
          <w:szCs w:val="22"/>
        </w:rPr>
        <w:t xml:space="preserve">Follow-up interview guides: </w:t>
      </w:r>
      <w:r>
        <w:rPr>
          <w:rFonts w:ascii="Arial" w:cs="Arial" w:eastAsia="Arial" w:hAnsi="Arial"/>
          <w:color w:val="2C3E50"/>
          <w:sz w:val="22"/>
          <w:szCs w:val="22"/>
        </w:rPr>
        <w:t xml:space="preserve">Auto-generate a second-round question set targeting gaps identified by the first assessment. “The Prosecutor flagged inconsistency in project ownership claims — here are 5 probing questions for the next round.”</w:t>
      </w:r>
    </w:p>
    <w:p>
      <w:r>
        <w:br w:type="page"/>
      </w:r>
    </w:p>
    <w:p>
      <w:pPr>
        <w:pStyle w:val="Heading1"/>
        <w:spacing w:after="160" w:before="0" w:line="276"/>
      </w:pPr>
      <w:r>
        <w:rPr>
          <w:rFonts w:ascii="Arial" w:cs="Arial" w:eastAsia="Arial" w:hAnsi="Arial"/>
          <w:color w:val="2C3E50"/>
          <w:sz w:val="22"/>
          <w:szCs w:val="22"/>
        </w:rPr>
        <w:t xml:space="preserve">5. Modularity: Mock Interviews &amp; Subject Coaching</w:t>
      </w:r>
    </w:p>
    <w:p>
      <w:pPr>
        <w:spacing w:after="160" w:before="0" w:line="276"/>
      </w:pPr>
      <w:r>
        <w:rPr>
          <w:rFonts w:ascii="Arial" w:cs="Arial" w:eastAsia="Arial" w:hAnsi="Arial"/>
          <w:color w:val="2C3E50"/>
          <w:sz w:val="22"/>
          <w:szCs w:val="22"/>
        </w:rPr>
        <w:t xml:space="preserve">The current architecture is tightly coupled to hiring interviews, but the core engine (AI voice conversation + multi-perspective assessment + reporting) is a general-purpose platform. Think of it like how a car engine can power a sedan, an SUV, or a truck with different body styles.</w:t>
      </w:r>
    </w:p>
    <w:p>
      <w:pPr>
        <w:pStyle w:val="Heading2"/>
        <w:spacing w:after="160" w:before="0" w:line="276"/>
      </w:pPr>
      <w:r>
        <w:rPr>
          <w:rFonts w:ascii="Arial" w:cs="Arial" w:eastAsia="Arial" w:hAnsi="Arial"/>
          <w:color w:val="2C3E50"/>
          <w:sz w:val="22"/>
          <w:szCs w:val="22"/>
        </w:rPr>
        <w:t xml:space="preserve">5.1 Architecture Refactoring for Modes</w:t>
      </w:r>
    </w:p>
    <w:p>
      <w:pPr>
        <w:spacing w:after="160" w:before="0" w:line="276"/>
      </w:pPr>
      <w:r>
        <w:rPr>
          <w:rFonts w:ascii="Arial" w:cs="Arial" w:eastAsia="Arial" w:hAnsi="Arial"/>
          <w:color w:val="2C3E50"/>
          <w:sz w:val="22"/>
          <w:szCs w:val="22"/>
        </w:rPr>
        <w:t xml:space="preserve">Introduce an "AssayMode" abstraction:</w:t>
      </w:r>
    </w:p>
    <w:p>
      <w:pPr>
        <w:pStyle w:val="ListParagraph"/>
        <w:numPr>
          <w:ilvl w:val="0"/>
          <w:numId w:val="2"/>
        </w:numPr>
        <w:spacing w:after="80" w:line="276"/>
      </w:pPr>
      <w:r>
        <w:rPr>
          <w:rFonts w:ascii="Arial" w:cs="Arial" w:eastAsia="Arial" w:hAnsi="Arial"/>
          <w:b/>
          <w:bCs/>
          <w:color w:val="2C3E50"/>
          <w:sz w:val="22"/>
          <w:szCs w:val="22"/>
        </w:rPr>
        <w:t xml:space="preserve">assessment (current): </w:t>
      </w:r>
      <w:r>
        <w:rPr>
          <w:rFonts w:ascii="Arial" w:cs="Arial" w:eastAsia="Arial" w:hAnsi="Arial"/>
          <w:color w:val="2C3E50"/>
          <w:sz w:val="22"/>
          <w:szCs w:val="22"/>
        </w:rPr>
        <w:t xml:space="preserve">Full chamber, formal report, org-owned data.</w:t>
      </w:r>
    </w:p>
    <w:p>
      <w:pPr>
        <w:pStyle w:val="ListParagraph"/>
        <w:numPr>
          <w:ilvl w:val="0"/>
          <w:numId w:val="2"/>
        </w:numPr>
        <w:spacing w:after="80" w:line="276"/>
      </w:pPr>
      <w:r>
        <w:rPr>
          <w:rFonts w:ascii="Arial" w:cs="Arial" w:eastAsia="Arial" w:hAnsi="Arial"/>
          <w:b/>
          <w:bCs/>
          <w:color w:val="2C3E50"/>
          <w:sz w:val="22"/>
          <w:szCs w:val="22"/>
        </w:rPr>
        <w:t xml:space="preserve">practice: </w:t>
      </w:r>
      <w:r>
        <w:rPr>
          <w:rFonts w:ascii="Arial" w:cs="Arial" w:eastAsia="Arial" w:hAnsi="Arial"/>
          <w:color w:val="2C3E50"/>
          <w:sz w:val="22"/>
          <w:szCs w:val="22"/>
        </w:rPr>
        <w:t xml:space="preserve">Same AI interviewer but with real-time coaching cues ("You’re speaking too fast", "Good use of the STAR method"). Reduced assessor set (Advocate + Coach only). Self-owned data.</w:t>
      </w:r>
    </w:p>
    <w:p>
      <w:pPr>
        <w:pStyle w:val="ListParagraph"/>
        <w:numPr>
          <w:ilvl w:val="0"/>
          <w:numId w:val="2"/>
        </w:numPr>
        <w:spacing w:after="80" w:line="276"/>
      </w:pPr>
      <w:r>
        <w:rPr>
          <w:rFonts w:ascii="Arial" w:cs="Arial" w:eastAsia="Arial" w:hAnsi="Arial"/>
          <w:b/>
          <w:bCs/>
          <w:color w:val="2C3E50"/>
          <w:sz w:val="22"/>
          <w:szCs w:val="22"/>
        </w:rPr>
        <w:t xml:space="preserve">coaching: </w:t>
      </w:r>
      <w:r>
        <w:rPr>
          <w:rFonts w:ascii="Arial" w:cs="Arial" w:eastAsia="Arial" w:hAnsi="Arial"/>
          <w:color w:val="2C3E50"/>
          <w:sz w:val="22"/>
          <w:szCs w:val="22"/>
        </w:rPr>
        <w:t xml:space="preserve">Subject-matter tutoring. The AI teaches rather than evaluates. Uses a Socratic method prompt set. Progress tracking replaces verdicts.</w:t>
      </w:r>
    </w:p>
    <w:p>
      <w:pPr>
        <w:pStyle w:val="ListParagraph"/>
        <w:numPr>
          <w:ilvl w:val="0"/>
          <w:numId w:val="2"/>
        </w:numPr>
        <w:spacing w:after="80" w:line="276"/>
      </w:pPr>
      <w:r>
        <w:rPr>
          <w:rFonts w:ascii="Arial" w:cs="Arial" w:eastAsia="Arial" w:hAnsi="Arial"/>
          <w:b/>
          <w:bCs/>
          <w:color w:val="2C3E50"/>
          <w:sz w:val="22"/>
          <w:szCs w:val="22"/>
        </w:rPr>
        <w:t xml:space="preserve">calibration: </w:t>
      </w:r>
      <w:r>
        <w:rPr>
          <w:rFonts w:ascii="Arial" w:cs="Arial" w:eastAsia="Arial" w:hAnsi="Arial"/>
          <w:color w:val="2C3E50"/>
          <w:sz w:val="22"/>
          <w:szCs w:val="22"/>
        </w:rPr>
        <w:t xml:space="preserve">Train interviewers by having them listen to a recorded session and submit their own assessment, then compare against the AI chamber’s verdict.</w:t>
      </w:r>
    </w:p>
    <w:p>
      <w:pPr>
        <w:pStyle w:val="Heading2"/>
        <w:spacing w:after="160" w:before="0" w:line="276"/>
      </w:pPr>
      <w:r>
        <w:rPr>
          <w:rFonts w:ascii="Arial" w:cs="Arial" w:eastAsia="Arial" w:hAnsi="Arial"/>
          <w:color w:val="2C3E50"/>
          <w:sz w:val="22"/>
          <w:szCs w:val="22"/>
        </w:rPr>
        <w:t xml:space="preserve">5.2 Implementation Path</w:t>
      </w:r>
    </w:p>
    <w:p>
      <w:pPr>
        <w:spacing w:after="160" w:before="0" w:line="276"/>
      </w:pPr>
      <w:r>
        <w:rPr>
          <w:rFonts w:ascii="Arial" w:cs="Arial" w:eastAsia="Arial" w:hAnsi="Arial"/>
          <w:color w:val="2C3E50"/>
          <w:sz w:val="22"/>
          <w:szCs w:val="22"/>
        </w:rPr>
        <w:t xml:space="preserve">This requires abstracting three layers:</w:t>
      </w:r>
    </w:p>
    <w:p>
      <w:pPr>
        <w:pStyle w:val="ListParagraph"/>
        <w:numPr>
          <w:ilvl w:val="0"/>
          <w:numId w:val="2"/>
        </w:numPr>
        <w:spacing w:after="80" w:line="276"/>
      </w:pPr>
      <w:r>
        <w:rPr>
          <w:rFonts w:ascii="Arial" w:cs="Arial" w:eastAsia="Arial" w:hAnsi="Arial"/>
          <w:b/>
          <w:bCs/>
          <w:color w:val="2C3E50"/>
          <w:sz w:val="22"/>
          <w:szCs w:val="22"/>
        </w:rPr>
        <w:t xml:space="preserve">Prompt registry: </w:t>
      </w:r>
      <w:r>
        <w:rPr>
          <w:rFonts w:ascii="Arial" w:cs="Arial" w:eastAsia="Arial" w:hAnsi="Arial"/>
          <w:color w:val="2C3E50"/>
          <w:sz w:val="22"/>
          <w:szCs w:val="22"/>
        </w:rPr>
        <w:t xml:space="preserve">Move all system prompts from hardcoded strings to a versioned prompt registry (the SystemPromptVersion table already exists but is unused). Each mode selects its prompt set.</w:t>
      </w:r>
    </w:p>
    <w:p>
      <w:pPr>
        <w:pStyle w:val="ListParagraph"/>
        <w:numPr>
          <w:ilvl w:val="0"/>
          <w:numId w:val="2"/>
        </w:numPr>
        <w:spacing w:after="80" w:line="276"/>
      </w:pPr>
      <w:r>
        <w:rPr>
          <w:rFonts w:ascii="Arial" w:cs="Arial" w:eastAsia="Arial" w:hAnsi="Arial"/>
          <w:b/>
          <w:bCs/>
          <w:color w:val="2C3E50"/>
          <w:sz w:val="22"/>
          <w:szCs w:val="22"/>
        </w:rPr>
        <w:t xml:space="preserve">Assessor configuration: </w:t>
      </w:r>
      <w:r>
        <w:rPr>
          <w:rFonts w:ascii="Arial" w:cs="Arial" w:eastAsia="Arial" w:hAnsi="Arial"/>
          <w:color w:val="2C3E50"/>
          <w:sz w:val="22"/>
          <w:szCs w:val="22"/>
        </w:rPr>
        <w:t xml:space="preserve">Make the assessor list configurable per session type. Practice mode uses 2 assessors; full assessment uses 5.</w:t>
      </w:r>
    </w:p>
    <w:p>
      <w:pPr>
        <w:pStyle w:val="ListParagraph"/>
        <w:numPr>
          <w:ilvl w:val="0"/>
          <w:numId w:val="2"/>
        </w:numPr>
        <w:spacing w:after="80" w:line="276"/>
      </w:pPr>
      <w:r>
        <w:rPr>
          <w:rFonts w:ascii="Arial" w:cs="Arial" w:eastAsia="Arial" w:hAnsi="Arial"/>
          <w:b/>
          <w:bCs/>
          <w:color w:val="2C3E50"/>
          <w:sz w:val="22"/>
          <w:szCs w:val="22"/>
        </w:rPr>
        <w:t xml:space="preserve">Report templates: </w:t>
      </w:r>
      <w:r>
        <w:rPr>
          <w:rFonts w:ascii="Arial" w:cs="Arial" w:eastAsia="Arial" w:hAnsi="Arial"/>
          <w:color w:val="2C3E50"/>
          <w:sz w:val="22"/>
          <w:szCs w:val="22"/>
        </w:rPr>
        <w:t xml:space="preserve">Different modes produce different report shapes. Practice mode gives feedback on interview technique; coaching mode tracks learning objectives.</w:t>
      </w:r>
    </w:p>
    <w:p>
      <w:r>
        <w:br w:type="page"/>
      </w:r>
    </w:p>
    <w:p>
      <w:pPr>
        <w:pStyle w:val="Heading1"/>
        <w:spacing w:after="160" w:before="0" w:line="276"/>
      </w:pPr>
      <w:r>
        <w:rPr>
          <w:rFonts w:ascii="Arial" w:cs="Arial" w:eastAsia="Arial" w:hAnsi="Arial"/>
          <w:color w:val="2C3E50"/>
          <w:sz w:val="22"/>
          <w:szCs w:val="22"/>
        </w:rPr>
        <w:t xml:space="preserve">6. More Human-Like Interactions</w:t>
      </w:r>
    </w:p>
    <w:p>
      <w:pPr>
        <w:spacing w:after="160" w:before="0" w:line="276"/>
      </w:pPr>
      <w:r>
        <w:rPr>
          <w:rFonts w:ascii="Arial" w:cs="Arial" w:eastAsia="Arial" w:hAnsi="Arial"/>
          <w:color w:val="2C3E50"/>
          <w:sz w:val="22"/>
          <w:szCs w:val="22"/>
        </w:rPr>
        <w:t xml:space="preserve">The voice AI ("Sophia" via Gemini Live) is already conversational, but there are opportunities to make it feel less like talking to an AI and more like talking to a thoughtful colleague.</w:t>
      </w:r>
    </w:p>
    <w:p>
      <w:pPr>
        <w:pStyle w:val="Heading2"/>
        <w:spacing w:after="160" w:before="0" w:line="276"/>
      </w:pPr>
      <w:r>
        <w:rPr>
          <w:rFonts w:ascii="Arial" w:cs="Arial" w:eastAsia="Arial" w:hAnsi="Arial"/>
          <w:color w:val="2C3E50"/>
          <w:sz w:val="22"/>
          <w:szCs w:val="22"/>
        </w:rPr>
        <w:t xml:space="preserve">6.1 Conversational Intelligence</w:t>
      </w:r>
    </w:p>
    <w:p>
      <w:pPr>
        <w:pStyle w:val="ListParagraph"/>
        <w:numPr>
          <w:ilvl w:val="0"/>
          <w:numId w:val="2"/>
        </w:numPr>
        <w:spacing w:after="80" w:line="276"/>
      </w:pPr>
      <w:r>
        <w:rPr>
          <w:rFonts w:ascii="Arial" w:cs="Arial" w:eastAsia="Arial" w:hAnsi="Arial"/>
          <w:b/>
          <w:bCs/>
          <w:color w:val="2C3E50"/>
          <w:sz w:val="22"/>
          <w:szCs w:val="22"/>
        </w:rPr>
        <w:t xml:space="preserve">Active listening signals: </w:t>
      </w:r>
      <w:r>
        <w:rPr>
          <w:rFonts w:ascii="Arial" w:cs="Arial" w:eastAsia="Arial" w:hAnsi="Arial"/>
          <w:color w:val="2C3E50"/>
          <w:sz w:val="22"/>
          <w:szCs w:val="22"/>
        </w:rPr>
        <w:t xml:space="preserve">Add natural backchannels ("Mm-hmm", "I see", "That’s interesting") during candidate speech. Currently Sophia waits silently, which feels robotic.</w:t>
      </w:r>
    </w:p>
    <w:p>
      <w:pPr>
        <w:pStyle w:val="ListParagraph"/>
        <w:numPr>
          <w:ilvl w:val="0"/>
          <w:numId w:val="2"/>
        </w:numPr>
        <w:spacing w:after="80" w:line="276"/>
      </w:pPr>
      <w:r>
        <w:rPr>
          <w:rFonts w:ascii="Arial" w:cs="Arial" w:eastAsia="Arial" w:hAnsi="Arial"/>
          <w:b/>
          <w:bCs/>
          <w:color w:val="2C3E50"/>
          <w:sz w:val="22"/>
          <w:szCs w:val="22"/>
        </w:rPr>
        <w:t xml:space="preserve">Contextual follow-ups: </w:t>
      </w:r>
      <w:r>
        <w:rPr>
          <w:rFonts w:ascii="Arial" w:cs="Arial" w:eastAsia="Arial" w:hAnsi="Arial"/>
          <w:color w:val="2C3E50"/>
          <w:sz w:val="22"/>
          <w:szCs w:val="22"/>
        </w:rPr>
        <w:t xml:space="preserve">Instead of moving rigidly through topics, train the interviewer to pick up on candidate cues. If a candidate mentions a side project with energy, ask about it before moving on.</w:t>
      </w:r>
    </w:p>
    <w:p>
      <w:pPr>
        <w:pStyle w:val="ListParagraph"/>
        <w:numPr>
          <w:ilvl w:val="0"/>
          <w:numId w:val="2"/>
        </w:numPr>
        <w:spacing w:after="80" w:line="276"/>
      </w:pPr>
      <w:r>
        <w:rPr>
          <w:rFonts w:ascii="Arial" w:cs="Arial" w:eastAsia="Arial" w:hAnsi="Arial"/>
          <w:b/>
          <w:bCs/>
          <w:color w:val="2C3E50"/>
          <w:sz w:val="22"/>
          <w:szCs w:val="22"/>
        </w:rPr>
        <w:t xml:space="preserve">Emotion-adaptive pacing: </w:t>
      </w:r>
      <w:r>
        <w:rPr>
          <w:rFonts w:ascii="Arial" w:cs="Arial" w:eastAsia="Arial" w:hAnsi="Arial"/>
          <w:color w:val="2C3E50"/>
          <w:sz w:val="22"/>
          <w:szCs w:val="22"/>
        </w:rPr>
        <w:t xml:space="preserve">You’re already capturing prosody via Hume. Feed emotion data back to the interviewer in real-time: if anxiety spikes, Sophia slows down, offers encouragement, and returns to the topic gently.</w:t>
      </w:r>
    </w:p>
    <w:p>
      <w:pPr>
        <w:pStyle w:val="Heading2"/>
        <w:spacing w:after="160" w:before="0" w:line="276"/>
      </w:pPr>
      <w:r>
        <w:rPr>
          <w:rFonts w:ascii="Arial" w:cs="Arial" w:eastAsia="Arial" w:hAnsi="Arial"/>
          <w:color w:val="2C3E50"/>
          <w:sz w:val="22"/>
          <w:szCs w:val="22"/>
        </w:rPr>
        <w:t xml:space="preserve">6.2 Personality &amp; Tone Profiles</w:t>
      </w:r>
    </w:p>
    <w:p>
      <w:pPr>
        <w:spacing w:after="160" w:before="0" w:line="276"/>
      </w:pPr>
      <w:r>
        <w:rPr>
          <w:rFonts w:ascii="Arial" w:cs="Arial" w:eastAsia="Arial" w:hAnsi="Arial"/>
          <w:color w:val="2C3E50"/>
          <w:sz w:val="22"/>
          <w:szCs w:val="22"/>
        </w:rPr>
        <w:t xml:space="preserve">The PersonalityConfig component exists but could be expanded:</w:t>
      </w:r>
    </w:p>
    <w:p>
      <w:pPr>
        <w:pStyle w:val="ListParagraph"/>
        <w:numPr>
          <w:ilvl w:val="0"/>
          <w:numId w:val="2"/>
        </w:numPr>
        <w:spacing w:after="80" w:line="276"/>
      </w:pPr>
      <w:r>
        <w:rPr>
          <w:rFonts w:ascii="Arial" w:cs="Arial" w:eastAsia="Arial" w:hAnsi="Arial"/>
          <w:b/>
          <w:bCs/>
          <w:color w:val="2C3E50"/>
          <w:sz w:val="22"/>
          <w:szCs w:val="22"/>
        </w:rPr>
        <w:t xml:space="preserve">Warm &amp; encouraging: </w:t>
      </w:r>
      <w:r>
        <w:rPr>
          <w:rFonts w:ascii="Arial" w:cs="Arial" w:eastAsia="Arial" w:hAnsi="Arial"/>
          <w:color w:val="2C3E50"/>
          <w:sz w:val="22"/>
          <w:szCs w:val="22"/>
        </w:rPr>
        <w:t xml:space="preserve">For entry-level or candidates in high-anxiety situations.</w:t>
      </w:r>
    </w:p>
    <w:p>
      <w:pPr>
        <w:pStyle w:val="ListParagraph"/>
        <w:numPr>
          <w:ilvl w:val="0"/>
          <w:numId w:val="2"/>
        </w:numPr>
        <w:spacing w:after="80" w:line="276"/>
      </w:pPr>
      <w:r>
        <w:rPr>
          <w:rFonts w:ascii="Arial" w:cs="Arial" w:eastAsia="Arial" w:hAnsi="Arial"/>
          <w:b/>
          <w:bCs/>
          <w:color w:val="2C3E50"/>
          <w:sz w:val="22"/>
          <w:szCs w:val="22"/>
        </w:rPr>
        <w:t xml:space="preserve">Direct &amp; challenging: </w:t>
      </w:r>
      <w:r>
        <w:rPr>
          <w:rFonts w:ascii="Arial" w:cs="Arial" w:eastAsia="Arial" w:hAnsi="Arial"/>
          <w:color w:val="2C3E50"/>
          <w:sz w:val="22"/>
          <w:szCs w:val="22"/>
        </w:rPr>
        <w:t xml:space="preserve">For senior leadership roles where stress-testing is expected.</w:t>
      </w:r>
    </w:p>
    <w:p>
      <w:pPr>
        <w:pStyle w:val="ListParagraph"/>
        <w:numPr>
          <w:ilvl w:val="0"/>
          <w:numId w:val="2"/>
        </w:numPr>
        <w:spacing w:after="80" w:line="276"/>
      </w:pPr>
      <w:r>
        <w:rPr>
          <w:rFonts w:ascii="Arial" w:cs="Arial" w:eastAsia="Arial" w:hAnsi="Arial"/>
          <w:b/>
          <w:bCs/>
          <w:color w:val="2C3E50"/>
          <w:sz w:val="22"/>
          <w:szCs w:val="22"/>
        </w:rPr>
        <w:t xml:space="preserve">Technical peer: </w:t>
      </w:r>
      <w:r>
        <w:rPr>
          <w:rFonts w:ascii="Arial" w:cs="Arial" w:eastAsia="Arial" w:hAnsi="Arial"/>
          <w:color w:val="2C3E50"/>
          <w:sz w:val="22"/>
          <w:szCs w:val="22"/>
        </w:rPr>
        <w:t xml:space="preserve">For engineering roles, using domain jargon naturally.</w:t>
      </w:r>
    </w:p>
    <w:p>
      <w:pPr>
        <w:pStyle w:val="Heading2"/>
        <w:spacing w:after="160" w:before="0" w:line="276"/>
      </w:pPr>
      <w:r>
        <w:rPr>
          <w:rFonts w:ascii="Arial" w:cs="Arial" w:eastAsia="Arial" w:hAnsi="Arial"/>
          <w:color w:val="2C3E50"/>
          <w:sz w:val="22"/>
          <w:szCs w:val="22"/>
        </w:rPr>
        <w:t xml:space="preserve">6.3 Multi-Turn Memory</w:t>
      </w:r>
    </w:p>
    <w:p>
      <w:pPr>
        <w:spacing w:after="160" w:before="0" w:line="276"/>
      </w:pPr>
      <w:r>
        <w:rPr>
          <w:rFonts w:ascii="Arial" w:cs="Arial" w:eastAsia="Arial" w:hAnsi="Arial"/>
          <w:color w:val="2C3E50"/>
          <w:sz w:val="22"/>
          <w:szCs w:val="22"/>
        </w:rPr>
        <w:t xml:space="preserve">Currently, each exchange is somewhat stateless within the Gemini session. Implement a "conversation memory" that tracks: what topics have been covered (no repeats), what claims the candidate has made (for cross-referencing later), and emotional arc (how the candidate’s confidence has shifted over the conversation).</w:t>
      </w:r>
    </w:p>
    <w:p>
      <w:r>
        <w:br w:type="page"/>
      </w:r>
    </w:p>
    <w:p>
      <w:pPr>
        <w:pStyle w:val="Heading1"/>
        <w:spacing w:after="160" w:before="0" w:line="276"/>
      </w:pPr>
      <w:r>
        <w:rPr>
          <w:rFonts w:ascii="Arial" w:cs="Arial" w:eastAsia="Arial" w:hAnsi="Arial"/>
          <w:color w:val="2C3E50"/>
          <w:sz w:val="22"/>
          <w:szCs w:val="22"/>
        </w:rPr>
        <w:t xml:space="preserve">7. Hyper-Specific, Actionable Reporting</w:t>
      </w:r>
    </w:p>
    <w:p>
      <w:pPr>
        <w:pStyle w:val="Heading2"/>
        <w:spacing w:after="160" w:before="0" w:line="276"/>
      </w:pPr>
      <w:r>
        <w:rPr>
          <w:rFonts w:ascii="Arial" w:cs="Arial" w:eastAsia="Arial" w:hAnsi="Arial"/>
          <w:color w:val="2C3E50"/>
          <w:sz w:val="22"/>
          <w:szCs w:val="22"/>
        </w:rPr>
        <w:t xml:space="preserve">7.1 Current State</w:t>
      </w:r>
    </w:p>
    <w:p>
      <w:pPr>
        <w:spacing w:after="160" w:before="0" w:line="276"/>
      </w:pPr>
      <w:r>
        <w:rPr>
          <w:rFonts w:ascii="Arial" w:cs="Arial" w:eastAsia="Arial" w:hAnsi="Arial"/>
          <w:color w:val="2C3E50"/>
          <w:sz w:val="22"/>
          <w:szCs w:val="22"/>
        </w:rPr>
        <w:t xml:space="preserve">Reports include assessor verdicts, gate evaluations, a synthesis, and follow-up questions. The PDF export is comprehensive. The foundation is strong but reports tend toward generic language ("candidate showed strong communication") rather than evidence-backed specifics.</w:t>
      </w:r>
    </w:p>
    <w:p>
      <w:pPr>
        <w:pStyle w:val="Heading2"/>
        <w:spacing w:after="160" w:before="0" w:line="276"/>
      </w:pPr>
      <w:r>
        <w:rPr>
          <w:rFonts w:ascii="Arial" w:cs="Arial" w:eastAsia="Arial" w:hAnsi="Arial"/>
          <w:color w:val="2C3E50"/>
          <w:sz w:val="22"/>
          <w:szCs w:val="22"/>
        </w:rPr>
        <w:t xml:space="preserve">7.2 Evidence-Linked Findings</w:t>
      </w:r>
    </w:p>
    <w:p>
      <w:pPr>
        <w:pStyle w:val="ListParagraph"/>
        <w:numPr>
          <w:ilvl w:val="0"/>
          <w:numId w:val="2"/>
        </w:numPr>
        <w:spacing w:after="80" w:line="276"/>
      </w:pPr>
      <w:r>
        <w:rPr>
          <w:rFonts w:ascii="Arial" w:cs="Arial" w:eastAsia="Arial" w:hAnsi="Arial"/>
          <w:b/>
          <w:bCs/>
          <w:color w:val="2C3E50"/>
          <w:sz w:val="22"/>
          <w:szCs w:val="22"/>
        </w:rPr>
        <w:t xml:space="preserve">Timestamp citations: </w:t>
      </w:r>
      <w:r>
        <w:rPr>
          <w:rFonts w:ascii="Arial" w:cs="Arial" w:eastAsia="Arial" w:hAnsi="Arial"/>
          <w:color w:val="2C3E50"/>
          <w:sz w:val="22"/>
          <w:szCs w:val="22"/>
        </w:rPr>
        <w:t xml:space="preserve">Every finding should link to the transcript moment that supports it. "At 14:32, when asked about the Q3 deadline miss, candidate shifted from first-person ("I decided") to third-person ("the team decided") — flagged by the Prosecutor as potential ownership distancing."</w:t>
      </w:r>
    </w:p>
    <w:p>
      <w:pPr>
        <w:pStyle w:val="ListParagraph"/>
        <w:numPr>
          <w:ilvl w:val="0"/>
          <w:numId w:val="2"/>
        </w:numPr>
        <w:spacing w:after="80" w:line="276"/>
      </w:pPr>
      <w:r>
        <w:rPr>
          <w:rFonts w:ascii="Arial" w:cs="Arial" w:eastAsia="Arial" w:hAnsi="Arial"/>
          <w:b/>
          <w:bCs/>
          <w:color w:val="2C3E50"/>
          <w:sz w:val="22"/>
          <w:szCs w:val="22"/>
        </w:rPr>
        <w:t xml:space="preserve">Prosody annotations: </w:t>
      </w:r>
      <w:r>
        <w:rPr>
          <w:rFonts w:ascii="Arial" w:cs="Arial" w:eastAsia="Arial" w:hAnsi="Arial"/>
          <w:color w:val="2C3E50"/>
          <w:sz w:val="22"/>
          <w:szCs w:val="22"/>
        </w:rPr>
        <w:t xml:space="preserve">Overlay emotion data on key moments. "Confidence dropped 40% during the technical deep-dive on system design (12:05–14:30), suggesting unfamiliarity."</w:t>
      </w:r>
    </w:p>
    <w:p>
      <w:pPr>
        <w:pStyle w:val="Heading2"/>
        <w:spacing w:after="160" w:before="0" w:line="276"/>
      </w:pPr>
      <w:r>
        <w:rPr>
          <w:rFonts w:ascii="Arial" w:cs="Arial" w:eastAsia="Arial" w:hAnsi="Arial"/>
          <w:color w:val="2C3E50"/>
          <w:sz w:val="22"/>
          <w:szCs w:val="22"/>
        </w:rPr>
        <w:t xml:space="preserve">7.3 Structured Decision Support</w:t>
      </w:r>
    </w:p>
    <w:p>
      <w:pPr>
        <w:pStyle w:val="ListParagraph"/>
        <w:numPr>
          <w:ilvl w:val="0"/>
          <w:numId w:val="2"/>
        </w:numPr>
        <w:spacing w:after="80" w:line="276"/>
      </w:pPr>
      <w:r>
        <w:rPr>
          <w:rFonts w:ascii="Arial" w:cs="Arial" w:eastAsia="Arial" w:hAnsi="Arial"/>
          <w:b/>
          <w:bCs/>
          <w:color w:val="2C3E50"/>
          <w:sz w:val="22"/>
          <w:szCs w:val="22"/>
        </w:rPr>
        <w:t xml:space="preserve">Hire/No-Hire/Explore matrix: </w:t>
      </w:r>
      <w:r>
        <w:rPr>
          <w:rFonts w:ascii="Arial" w:cs="Arial" w:eastAsia="Arial" w:hAnsi="Arial"/>
          <w:color w:val="2C3E50"/>
          <w:sz w:val="22"/>
          <w:szCs w:val="22"/>
        </w:rPr>
        <w:t xml:space="preserve">Instead of a single score, present a decision framework with clear criteria met/unmet for each gate.</w:t>
      </w:r>
    </w:p>
    <w:p>
      <w:pPr>
        <w:pStyle w:val="ListParagraph"/>
        <w:numPr>
          <w:ilvl w:val="0"/>
          <w:numId w:val="2"/>
        </w:numPr>
        <w:spacing w:after="80" w:line="276"/>
      </w:pPr>
      <w:r>
        <w:rPr>
          <w:rFonts w:ascii="Arial" w:cs="Arial" w:eastAsia="Arial" w:hAnsi="Arial"/>
          <w:b/>
          <w:bCs/>
          <w:color w:val="2C3E50"/>
          <w:sz w:val="22"/>
          <w:szCs w:val="22"/>
        </w:rPr>
        <w:t xml:space="preserve">Risk register: </w:t>
      </w:r>
      <w:r>
        <w:rPr>
          <w:rFonts w:ascii="Arial" w:cs="Arial" w:eastAsia="Arial" w:hAnsi="Arial"/>
          <w:color w:val="2C3E50"/>
          <w:sz w:val="22"/>
          <w:szCs w:val="22"/>
        </w:rPr>
        <w:t xml:space="preserve">Top 3 risks with mitigation strategies. "Risk: Candidate has never managed more than 4 people. Mitigation: Pair with experienced manager for first 6 months."</w:t>
      </w:r>
    </w:p>
    <w:p>
      <w:pPr>
        <w:pStyle w:val="ListParagraph"/>
        <w:numPr>
          <w:ilvl w:val="0"/>
          <w:numId w:val="2"/>
        </w:numPr>
        <w:spacing w:after="80" w:line="276"/>
      </w:pPr>
      <w:r>
        <w:rPr>
          <w:rFonts w:ascii="Arial" w:cs="Arial" w:eastAsia="Arial" w:hAnsi="Arial"/>
          <w:b/>
          <w:bCs/>
          <w:color w:val="2C3E50"/>
          <w:sz w:val="22"/>
          <w:szCs w:val="22"/>
        </w:rPr>
        <w:t xml:space="preserve">90-day success plan: </w:t>
      </w:r>
      <w:r>
        <w:rPr>
          <w:rFonts w:ascii="Arial" w:cs="Arial" w:eastAsia="Arial" w:hAnsi="Arial"/>
          <w:color w:val="2C3E50"/>
          <w:sz w:val="22"/>
          <w:szCs w:val="22"/>
        </w:rPr>
        <w:t xml:space="preserve">For recommended hires, auto-generate an onboarding focus plan based on identified strengths and gaps.</w:t>
      </w:r>
    </w:p>
    <w:p>
      <w:pPr>
        <w:pStyle w:val="Heading2"/>
        <w:spacing w:after="160" w:before="0" w:line="276"/>
      </w:pPr>
      <w:r>
        <w:rPr>
          <w:rFonts w:ascii="Arial" w:cs="Arial" w:eastAsia="Arial" w:hAnsi="Arial"/>
          <w:color w:val="2C3E50"/>
          <w:sz w:val="22"/>
          <w:szCs w:val="22"/>
        </w:rPr>
        <w:t xml:space="preserve">7.4 Feedback-Driven Calibration</w:t>
      </w:r>
    </w:p>
    <w:p>
      <w:pPr>
        <w:spacing w:after="160" w:before="0" w:line="276"/>
      </w:pPr>
      <w:r>
        <w:rPr>
          <w:rFonts w:ascii="Arial" w:cs="Arial" w:eastAsia="Arial" w:hAnsi="Arial"/>
          <w:color w:val="2C3E50"/>
          <w:sz w:val="22"/>
          <w:szCs w:val="22"/>
        </w:rPr>
        <w:t xml:space="preserve">The ReportFeedback table captures accuracy ratings. Build a calibration dashboard that shows: assessor accuracy over time (which assessor is most predictive of actual job performance?), gate reliability (which gates correlate with 6-month retention?), and organizational bias detection (are scores systematically different by role, team, or interviewer?).</w:t>
      </w:r>
    </w:p>
    <w:p>
      <w:r>
        <w:br w:type="page"/>
      </w:r>
    </w:p>
    <w:p>
      <w:pPr>
        <w:pStyle w:val="Heading1"/>
        <w:spacing w:after="160" w:before="0" w:line="276"/>
      </w:pPr>
      <w:r>
        <w:rPr>
          <w:rFonts w:ascii="Arial" w:cs="Arial" w:eastAsia="Arial" w:hAnsi="Arial"/>
          <w:color w:val="2C3E50"/>
          <w:sz w:val="22"/>
          <w:szCs w:val="22"/>
        </w:rPr>
        <w:t xml:space="preserve">8. Demo Mode for Seamless Trials</w:t>
      </w:r>
    </w:p>
    <w:p>
      <w:pPr>
        <w:spacing w:after="160" w:before="0" w:line="276"/>
      </w:pPr>
      <w:r>
        <w:rPr>
          <w:rFonts w:ascii="Arial" w:cs="Arial" w:eastAsia="Arial" w:hAnsi="Arial"/>
          <w:color w:val="2C3E50"/>
          <w:sz w:val="22"/>
          <w:szCs w:val="22"/>
        </w:rPr>
        <w:t xml:space="preserve">A compelling demo is essential for B2B sales. Think of it like a test drive — the prospect needs to feel the product’s value without any setup friction.</w:t>
      </w:r>
    </w:p>
    <w:p>
      <w:pPr>
        <w:pStyle w:val="Heading2"/>
        <w:spacing w:after="160" w:before="0" w:line="276"/>
      </w:pPr>
      <w:r>
        <w:rPr>
          <w:rFonts w:ascii="Arial" w:cs="Arial" w:eastAsia="Arial" w:hAnsi="Arial"/>
          <w:color w:val="2C3E50"/>
          <w:sz w:val="22"/>
          <w:szCs w:val="22"/>
        </w:rPr>
        <w:t xml:space="preserve">8.1 Design</w:t>
      </w:r>
    </w:p>
    <w:p>
      <w:pPr>
        <w:pStyle w:val="ListParagraph"/>
        <w:numPr>
          <w:ilvl w:val="0"/>
          <w:numId w:val="2"/>
        </w:numPr>
        <w:spacing w:after="80" w:line="276"/>
      </w:pPr>
      <w:r>
        <w:rPr>
          <w:rFonts w:ascii="Arial" w:cs="Arial" w:eastAsia="Arial" w:hAnsi="Arial"/>
          <w:b/>
          <w:bCs/>
          <w:color w:val="2C3E50"/>
          <w:sz w:val="22"/>
          <w:szCs w:val="22"/>
        </w:rPr>
        <w:t xml:space="preserve">Zero-signup entry: </w:t>
      </w:r>
      <w:r>
        <w:rPr>
          <w:rFonts w:ascii="Arial" w:cs="Arial" w:eastAsia="Arial" w:hAnsi="Arial"/>
          <w:color w:val="2C3E50"/>
          <w:sz w:val="22"/>
          <w:szCs w:val="22"/>
        </w:rPr>
        <w:t xml:space="preserve">Landing page with "Try a Demo Interview" button. No email, no registration. Creates a temporary ephemeral org.</w:t>
      </w:r>
    </w:p>
    <w:p>
      <w:pPr>
        <w:pStyle w:val="ListParagraph"/>
        <w:numPr>
          <w:ilvl w:val="0"/>
          <w:numId w:val="2"/>
        </w:numPr>
        <w:spacing w:after="80" w:line="276"/>
      </w:pPr>
      <w:r>
        <w:rPr>
          <w:rFonts w:ascii="Arial" w:cs="Arial" w:eastAsia="Arial" w:hAnsi="Arial"/>
          <w:b/>
          <w:bCs/>
          <w:color w:val="2C3E50"/>
          <w:sz w:val="22"/>
          <w:szCs w:val="22"/>
        </w:rPr>
        <w:t xml:space="preserve">Pre-loaded scenario: </w:t>
      </w:r>
      <w:r>
        <w:rPr>
          <w:rFonts w:ascii="Arial" w:cs="Arial" w:eastAsia="Arial" w:hAnsi="Arial"/>
          <w:color w:val="2C3E50"/>
          <w:sz w:val="22"/>
          <w:szCs w:val="22"/>
        </w:rPr>
        <w:t xml:space="preserve">Demo starts with a pre-configured role (e.g., "Senior Product Manager") and a synthetic candidate profile. User can either watch a pre-recorded interview replay or do a live 5-minute mini-interview.</w:t>
      </w:r>
    </w:p>
    <w:p>
      <w:pPr>
        <w:pStyle w:val="ListParagraph"/>
        <w:numPr>
          <w:ilvl w:val="0"/>
          <w:numId w:val="2"/>
        </w:numPr>
        <w:spacing w:after="80" w:line="276"/>
      </w:pPr>
      <w:r>
        <w:rPr>
          <w:rFonts w:ascii="Arial" w:cs="Arial" w:eastAsia="Arial" w:hAnsi="Arial"/>
          <w:b/>
          <w:bCs/>
          <w:color w:val="2C3E50"/>
          <w:sz w:val="22"/>
          <w:szCs w:val="22"/>
        </w:rPr>
        <w:t xml:space="preserve">Full report reveal: </w:t>
      </w:r>
      <w:r>
        <w:rPr>
          <w:rFonts w:ascii="Arial" w:cs="Arial" w:eastAsia="Arial" w:hAnsi="Arial"/>
          <w:color w:val="2C3E50"/>
          <w:sz w:val="22"/>
          <w:szCs w:val="22"/>
        </w:rPr>
        <w:t xml:space="preserve">After the demo interview, show a complete sample report with all assessor perspectives. Highlight what the paid product adds (custom gates, team analytics, integrations).</w:t>
      </w:r>
    </w:p>
    <w:p>
      <w:pPr>
        <w:pStyle w:val="ListParagraph"/>
        <w:numPr>
          <w:ilvl w:val="0"/>
          <w:numId w:val="2"/>
        </w:numPr>
        <w:spacing w:after="80" w:line="276"/>
      </w:pPr>
      <w:r>
        <w:rPr>
          <w:rFonts w:ascii="Arial" w:cs="Arial" w:eastAsia="Arial" w:hAnsi="Arial"/>
          <w:b/>
          <w:bCs/>
          <w:color w:val="2C3E50"/>
          <w:sz w:val="22"/>
          <w:szCs w:val="22"/>
        </w:rPr>
        <w:t xml:space="preserve">Conversion funnel: </w:t>
      </w:r>
      <w:r>
        <w:rPr>
          <w:rFonts w:ascii="Arial" w:cs="Arial" w:eastAsia="Arial" w:hAnsi="Arial"/>
          <w:color w:val="2C3E50"/>
          <w:sz w:val="22"/>
          <w:szCs w:val="22"/>
        </w:rPr>
        <w:t xml:space="preserve">Demo → "Want to try with your own questions?" → Email capture → 14-day trial.</w:t>
      </w:r>
    </w:p>
    <w:p>
      <w:pPr>
        <w:pStyle w:val="Heading2"/>
        <w:spacing w:after="160" w:before="0" w:line="276"/>
      </w:pPr>
      <w:r>
        <w:rPr>
          <w:rFonts w:ascii="Arial" w:cs="Arial" w:eastAsia="Arial" w:hAnsi="Arial"/>
          <w:color w:val="2C3E50"/>
          <w:sz w:val="22"/>
          <w:szCs w:val="22"/>
        </w:rPr>
        <w:t xml:space="preserve">8.2 Technical Implementation</w:t>
      </w:r>
    </w:p>
    <w:p>
      <w:pPr>
        <w:spacing w:after="160" w:before="0" w:line="276"/>
      </w:pPr>
      <w:r>
        <w:rPr>
          <w:rFonts w:ascii="Arial" w:cs="Arial" w:eastAsia="Arial" w:hAnsi="Arial"/>
          <w:color w:val="2C3E50"/>
          <w:sz w:val="22"/>
          <w:szCs w:val="22"/>
        </w:rPr>
        <w:t xml:space="preserve">The publicInvite system already creates ephemeral candidate sessions with time-limited JWTs. Extend this pattern: create a /demo endpoint that generates a sandboxed org + session with TTL (auto-cleanup after 24 hours). Seed the demo DB with pre-built transcripts, observations, and a sample report for instant replay.</w:t>
      </w:r>
    </w:p>
    <w:p>
      <w:r>
        <w:br w:type="page"/>
      </w:r>
    </w:p>
    <w:p>
      <w:pPr>
        <w:pStyle w:val="Heading1"/>
        <w:spacing w:after="160" w:before="0" w:line="276"/>
      </w:pPr>
      <w:r>
        <w:rPr>
          <w:rFonts w:ascii="Arial" w:cs="Arial" w:eastAsia="Arial" w:hAnsi="Arial"/>
          <w:color w:val="2C3E50"/>
          <w:sz w:val="22"/>
          <w:szCs w:val="22"/>
        </w:rPr>
        <w:t xml:space="preserve">9. Ethical Influence Mapping</w:t>
      </w:r>
    </w:p>
    <w:p>
      <w:pPr>
        <w:spacing w:after="160" w:before="0" w:line="276"/>
      </w:pPr>
      <w:r>
        <w:rPr>
          <w:rFonts w:ascii="Arial" w:cs="Arial" w:eastAsia="Arial" w:hAnsi="Arial"/>
          <w:color w:val="2C3E50"/>
          <w:sz w:val="22"/>
          <w:szCs w:val="22"/>
        </w:rPr>
        <w:t xml:space="preserve">This is your most distinctive and sensitive proposed feature. The idea: within a closed group (like a company’s internal talent pool), map the mentors, leaders, and peers who have shaped a candidate’s growth. This is powerful for understanding cultural fit and development trajectories, but carries significant ethical weight.</w:t>
      </w:r>
    </w:p>
    <w:p>
      <w:pPr>
        <w:pStyle w:val="Heading2"/>
        <w:spacing w:after="160" w:before="0" w:line="276"/>
      </w:pPr>
      <w:r>
        <w:rPr>
          <w:rFonts w:ascii="Arial" w:cs="Arial" w:eastAsia="Arial" w:hAnsi="Arial"/>
          <w:color w:val="2C3E50"/>
          <w:sz w:val="22"/>
          <w:szCs w:val="22"/>
        </w:rPr>
        <w:t xml:space="preserve">9.1 Design Principles</w:t>
      </w:r>
    </w:p>
    <w:p>
      <w:pPr>
        <w:pStyle w:val="ListParagraph"/>
        <w:numPr>
          <w:ilvl w:val="0"/>
          <w:numId w:val="2"/>
        </w:numPr>
        <w:spacing w:after="80" w:line="276"/>
      </w:pPr>
      <w:r>
        <w:rPr>
          <w:rFonts w:ascii="Arial" w:cs="Arial" w:eastAsia="Arial" w:hAnsi="Arial"/>
          <w:b/>
          <w:bCs/>
          <w:color w:val="2C3E50"/>
          <w:sz w:val="22"/>
          <w:szCs w:val="22"/>
        </w:rPr>
        <w:t xml:space="preserve">Explicit, informed consent: </w:t>
      </w:r>
      <w:r>
        <w:rPr>
          <w:rFonts w:ascii="Arial" w:cs="Arial" w:eastAsia="Arial" w:hAnsi="Arial"/>
          <w:color w:val="2C3E50"/>
          <w:sz w:val="22"/>
          <w:szCs w:val="22"/>
        </w:rPr>
        <w:t xml:space="preserve">Every participant (the candidate AND every person named as an influence) must opt in with a clear explanation of how their data is used. No exceptions.</w:t>
      </w:r>
    </w:p>
    <w:p>
      <w:pPr>
        <w:pStyle w:val="ListParagraph"/>
        <w:numPr>
          <w:ilvl w:val="0"/>
          <w:numId w:val="2"/>
        </w:numPr>
        <w:spacing w:after="80" w:line="276"/>
      </w:pPr>
      <w:r>
        <w:rPr>
          <w:rFonts w:ascii="Arial" w:cs="Arial" w:eastAsia="Arial" w:hAnsi="Arial"/>
          <w:b/>
          <w:bCs/>
          <w:color w:val="2C3E50"/>
          <w:sz w:val="22"/>
          <w:szCs w:val="22"/>
        </w:rPr>
        <w:t xml:space="preserve">Candidate-initiated only: </w:t>
      </w:r>
      <w:r>
        <w:rPr>
          <w:rFonts w:ascii="Arial" w:cs="Arial" w:eastAsia="Arial" w:hAnsi="Arial"/>
          <w:color w:val="2C3E50"/>
          <w:sz w:val="22"/>
          <w:szCs w:val="22"/>
        </w:rPr>
        <w:t xml:space="preserve">The candidate nominates their influences; the system never discovers or infers connections without the candidate’s knowledge.</w:t>
      </w:r>
    </w:p>
    <w:p>
      <w:pPr>
        <w:pStyle w:val="ListParagraph"/>
        <w:numPr>
          <w:ilvl w:val="0"/>
          <w:numId w:val="2"/>
        </w:numPr>
        <w:spacing w:after="80" w:line="276"/>
      </w:pPr>
      <w:r>
        <w:rPr>
          <w:rFonts w:ascii="Arial" w:cs="Arial" w:eastAsia="Arial" w:hAnsi="Arial"/>
          <w:b/>
          <w:bCs/>
          <w:color w:val="2C3E50"/>
          <w:sz w:val="22"/>
          <w:szCs w:val="22"/>
        </w:rPr>
        <w:t xml:space="preserve">Closed-group boundary: </w:t>
      </w:r>
      <w:r>
        <w:rPr>
          <w:rFonts w:ascii="Arial" w:cs="Arial" w:eastAsia="Arial" w:hAnsi="Arial"/>
          <w:color w:val="2C3E50"/>
          <w:sz w:val="22"/>
          <w:szCs w:val="22"/>
        </w:rPr>
        <w:t xml:space="preserve">Influence mapping only works within a single organization’s verified membership. No cross-org data sharing.</w:t>
      </w:r>
    </w:p>
    <w:p>
      <w:pPr>
        <w:pStyle w:val="ListParagraph"/>
        <w:numPr>
          <w:ilvl w:val="0"/>
          <w:numId w:val="2"/>
        </w:numPr>
        <w:spacing w:after="80" w:line="276"/>
      </w:pPr>
      <w:r>
        <w:rPr>
          <w:rFonts w:ascii="Arial" w:cs="Arial" w:eastAsia="Arial" w:hAnsi="Arial"/>
          <w:b/>
          <w:bCs/>
          <w:color w:val="2C3E50"/>
          <w:sz w:val="22"/>
          <w:szCs w:val="22"/>
        </w:rPr>
        <w:t xml:space="preserve">Anonymized aggregation: </w:t>
      </w:r>
      <w:r>
        <w:rPr>
          <w:rFonts w:ascii="Arial" w:cs="Arial" w:eastAsia="Arial" w:hAnsi="Arial"/>
          <w:color w:val="2C3E50"/>
          <w:sz w:val="22"/>
          <w:szCs w:val="22"/>
        </w:rPr>
        <w:t xml:space="preserve">Reports show patterns ("3 of 4 references emphasize this candidate’s mentoring ability") without exposing individual responses unless the reference consents to attribution.</w:t>
      </w:r>
    </w:p>
    <w:p>
      <w:pPr>
        <w:pStyle w:val="Heading2"/>
        <w:spacing w:after="160" w:before="0" w:line="276"/>
      </w:pPr>
      <w:r>
        <w:rPr>
          <w:rFonts w:ascii="Arial" w:cs="Arial" w:eastAsia="Arial" w:hAnsi="Arial"/>
          <w:color w:val="2C3E50"/>
          <w:sz w:val="22"/>
          <w:szCs w:val="22"/>
        </w:rPr>
        <w:t xml:space="preserve">9.2 Implementation Approach</w:t>
      </w:r>
    </w:p>
    <w:p>
      <w:pPr>
        <w:spacing w:after="160" w:before="0" w:line="276"/>
      </w:pPr>
      <w:r>
        <w:rPr>
          <w:rFonts w:ascii="Arial" w:cs="Arial" w:eastAsia="Arial" w:hAnsi="Arial"/>
          <w:color w:val="2C3E50"/>
          <w:sz w:val="22"/>
          <w:szCs w:val="22"/>
        </w:rPr>
        <w:t xml:space="preserve">Build on the existing CandidateReferences system:</w:t>
      </w:r>
    </w:p>
    <w:p>
      <w:pPr>
        <w:pStyle w:val="ListParagraph"/>
        <w:numPr>
          <w:ilvl w:val="0"/>
          <w:numId w:val="2"/>
        </w:numPr>
        <w:spacing w:after="80" w:line="276"/>
      </w:pPr>
      <w:r>
        <w:rPr>
          <w:rFonts w:ascii="Arial" w:cs="Arial" w:eastAsia="Arial" w:hAnsi="Arial"/>
          <w:b/>
          <w:bCs/>
          <w:color w:val="2C3E50"/>
          <w:sz w:val="22"/>
          <w:szCs w:val="22"/>
        </w:rPr>
        <w:t xml:space="preserve">Phase 1 — Reference network: </w:t>
      </w:r>
      <w:r>
        <w:rPr>
          <w:rFonts w:ascii="Arial" w:cs="Arial" w:eastAsia="Arial" w:hAnsi="Arial"/>
          <w:color w:val="2C3E50"/>
          <w:sz w:val="22"/>
          <w:szCs w:val="22"/>
        </w:rPr>
        <w:t xml:space="preserve">Extend reference forms to include relationship type (mentor, peer, report, skip-level) and growth dimensions ("How has this person grown in the last year?"). The AI analyzes response patterns across the network.</w:t>
      </w:r>
    </w:p>
    <w:p>
      <w:pPr>
        <w:pStyle w:val="ListParagraph"/>
        <w:numPr>
          <w:ilvl w:val="0"/>
          <w:numId w:val="2"/>
        </w:numPr>
        <w:spacing w:after="80" w:line="276"/>
      </w:pPr>
      <w:r>
        <w:rPr>
          <w:rFonts w:ascii="Arial" w:cs="Arial" w:eastAsia="Arial" w:hAnsi="Arial"/>
          <w:b/>
          <w:bCs/>
          <w:color w:val="2C3E50"/>
          <w:sz w:val="22"/>
          <w:szCs w:val="22"/>
        </w:rPr>
        <w:t xml:space="preserve">Phase 2 — Growth trajectory: </w:t>
      </w:r>
      <w:r>
        <w:rPr>
          <w:rFonts w:ascii="Arial" w:cs="Arial" w:eastAsia="Arial" w:hAnsi="Arial"/>
          <w:color w:val="2C3E50"/>
          <w:sz w:val="22"/>
          <w:szCs w:val="22"/>
        </w:rPr>
        <w:t xml:space="preserve">For internal candidates, correlate influence data with performance reviews (with consent) to identify which mentoring relationships produced the strongest growth.</w:t>
      </w:r>
    </w:p>
    <w:p>
      <w:pPr>
        <w:pStyle w:val="ListParagraph"/>
        <w:numPr>
          <w:ilvl w:val="0"/>
          <w:numId w:val="2"/>
        </w:numPr>
        <w:spacing w:after="80" w:line="276"/>
      </w:pPr>
      <w:r>
        <w:rPr>
          <w:rFonts w:ascii="Arial" w:cs="Arial" w:eastAsia="Arial" w:hAnsi="Arial"/>
          <w:b/>
          <w:bCs/>
          <w:color w:val="2C3E50"/>
          <w:sz w:val="22"/>
          <w:szCs w:val="22"/>
        </w:rPr>
        <w:t xml:space="preserve">Phase 3 — Org-level insights: </w:t>
      </w:r>
      <w:r>
        <w:rPr>
          <w:rFonts w:ascii="Arial" w:cs="Arial" w:eastAsia="Arial" w:hAnsi="Arial"/>
          <w:color w:val="2C3E50"/>
          <w:sz w:val="22"/>
          <w:szCs w:val="22"/>
        </w:rPr>
        <w:t xml:space="preserve">For leadership, aggregate (anonymized) influence patterns to answer: "Which managers are producing the most promotable talent?" This is a powerful retention and L&amp;D tool.</w:t>
      </w:r>
    </w:p>
    <w:p>
      <w:pPr>
        <w:pStyle w:val="Heading2"/>
        <w:spacing w:after="160" w:before="0" w:line="276"/>
      </w:pPr>
      <w:r>
        <w:rPr>
          <w:rFonts w:ascii="Arial" w:cs="Arial" w:eastAsia="Arial" w:hAnsi="Arial"/>
          <w:color w:val="2C3E50"/>
          <w:sz w:val="22"/>
          <w:szCs w:val="22"/>
        </w:rPr>
        <w:t xml:space="preserve">9.3 Safeguards</w:t>
      </w:r>
    </w:p>
    <w:p>
      <w:pPr>
        <w:pStyle w:val="ListParagraph"/>
        <w:numPr>
          <w:ilvl w:val="0"/>
          <w:numId w:val="2"/>
        </w:numPr>
        <w:spacing w:after="80" w:line="276"/>
      </w:pPr>
      <w:r>
        <w:rPr>
          <w:rFonts w:ascii="Arial" w:cs="Arial" w:eastAsia="Arial" w:hAnsi="Arial"/>
          <w:b/>
          <w:bCs/>
          <w:color w:val="2C3E50"/>
          <w:sz w:val="22"/>
          <w:szCs w:val="22"/>
        </w:rPr>
        <w:t xml:space="preserve">Data retention limits: </w:t>
      </w:r>
      <w:r>
        <w:rPr>
          <w:rFonts w:ascii="Arial" w:cs="Arial" w:eastAsia="Arial" w:hAnsi="Arial"/>
          <w:color w:val="2C3E50"/>
          <w:sz w:val="22"/>
          <w:szCs w:val="22"/>
        </w:rPr>
        <w:t xml:space="preserve">Influence data expires after 12 months unless actively renewed.</w:t>
      </w:r>
    </w:p>
    <w:p>
      <w:pPr>
        <w:pStyle w:val="ListParagraph"/>
        <w:numPr>
          <w:ilvl w:val="0"/>
          <w:numId w:val="2"/>
        </w:numPr>
        <w:spacing w:after="80" w:line="276"/>
      </w:pPr>
      <w:r>
        <w:rPr>
          <w:rFonts w:ascii="Arial" w:cs="Arial" w:eastAsia="Arial" w:hAnsi="Arial"/>
          <w:b/>
          <w:bCs/>
          <w:color w:val="2C3E50"/>
          <w:sz w:val="22"/>
          <w:szCs w:val="22"/>
        </w:rPr>
        <w:t xml:space="preserve">Right to withdraw: </w:t>
      </w:r>
      <w:r>
        <w:rPr>
          <w:rFonts w:ascii="Arial" w:cs="Arial" w:eastAsia="Arial" w:hAnsi="Arial"/>
          <w:color w:val="2C3E50"/>
          <w:sz w:val="22"/>
          <w:szCs w:val="22"/>
        </w:rPr>
        <w:t xml:space="preserve">Any participant can remove themselves from the influence map at any time, and all derived insights are recalculated.</w:t>
      </w:r>
    </w:p>
    <w:p>
      <w:pPr>
        <w:pStyle w:val="ListParagraph"/>
        <w:numPr>
          <w:ilvl w:val="0"/>
          <w:numId w:val="2"/>
        </w:numPr>
        <w:spacing w:after="80" w:line="276"/>
      </w:pPr>
      <w:r>
        <w:rPr>
          <w:rFonts w:ascii="Arial" w:cs="Arial" w:eastAsia="Arial" w:hAnsi="Arial"/>
          <w:b/>
          <w:bCs/>
          <w:color w:val="2C3E50"/>
          <w:sz w:val="22"/>
          <w:szCs w:val="22"/>
        </w:rPr>
        <w:t xml:space="preserve">Audit trail: </w:t>
      </w:r>
      <w:r>
        <w:rPr>
          <w:rFonts w:ascii="Arial" w:cs="Arial" w:eastAsia="Arial" w:hAnsi="Arial"/>
          <w:color w:val="2C3E50"/>
          <w:sz w:val="22"/>
          <w:szCs w:val="22"/>
        </w:rPr>
        <w:t xml:space="preserve">Every access to influence data is logged. The system tracks who viewed what and when.</w:t>
      </w:r>
    </w:p>
    <w:p>
      <w:pPr>
        <w:pStyle w:val="ListParagraph"/>
        <w:numPr>
          <w:ilvl w:val="0"/>
          <w:numId w:val="2"/>
        </w:numPr>
        <w:spacing w:after="80" w:line="276"/>
      </w:pPr>
      <w:r>
        <w:rPr>
          <w:rFonts w:ascii="Arial" w:cs="Arial" w:eastAsia="Arial" w:hAnsi="Arial"/>
          <w:b/>
          <w:bCs/>
          <w:color w:val="2C3E50"/>
          <w:sz w:val="22"/>
          <w:szCs w:val="22"/>
        </w:rPr>
        <w:t xml:space="preserve">No adverse inference: </w:t>
      </w:r>
      <w:r>
        <w:rPr>
          <w:rFonts w:ascii="Arial" w:cs="Arial" w:eastAsia="Arial" w:hAnsi="Arial"/>
          <w:color w:val="2C3E50"/>
          <w:sz w:val="22"/>
          <w:szCs w:val="22"/>
        </w:rPr>
        <w:t xml:space="preserve">The system must never penalize a candidate for having fewer or less prominent influences. Absence of data is not negative signal.</w:t>
      </w:r>
    </w:p>
    <w:p>
      <w:r>
        <w:br w:type="page"/>
      </w:r>
    </w:p>
    <w:p>
      <w:pPr>
        <w:pStyle w:val="Heading1"/>
        <w:spacing w:after="160" w:before="0" w:line="276"/>
      </w:pPr>
      <w:r>
        <w:rPr>
          <w:rFonts w:ascii="Arial" w:cs="Arial" w:eastAsia="Arial" w:hAnsi="Arial"/>
          <w:color w:val="2C3E50"/>
          <w:sz w:val="22"/>
          <w:szCs w:val="22"/>
        </w:rPr>
        <w:t xml:space="preserve">10. Scalability: High Volume Without Quality Loss</w:t>
      </w:r>
    </w:p>
    <w:p>
      <w:pPr>
        <w:pStyle w:val="Heading2"/>
        <w:spacing w:after="160" w:before="0" w:line="276"/>
      </w:pPr>
      <w:r>
        <w:rPr>
          <w:rFonts w:ascii="Arial" w:cs="Arial" w:eastAsia="Arial" w:hAnsi="Arial"/>
          <w:color w:val="2C3E50"/>
          <w:sz w:val="22"/>
          <w:szCs w:val="22"/>
        </w:rPr>
        <w:t xml:space="preserve">10.1 Current Bottlenecks</w:t>
      </w:r>
    </w:p>
    <w:p>
      <w:pPr>
        <w:spacing w:after="160" w:before="0" w:line="276"/>
      </w:pPr>
      <w:r>
        <w:rPr>
          <w:rFonts w:ascii="Arial" w:cs="Arial" w:eastAsia="Arial" w:hAnsi="Arial"/>
          <w:color w:val="2C3E50"/>
          <w:sz w:val="22"/>
          <w:szCs w:val="22"/>
        </w:rPr>
        <w:t xml:space="preserve">The system today has several scaling constraints. Think of it like a restaurant: the food (AI quality) is excellent, but the kitchen (infrastructure) can only serve one table at a time.</w:t>
      </w:r>
    </w:p>
    <w:p>
      <w:pPr>
        <w:pStyle w:val="ListParagraph"/>
        <w:numPr>
          <w:ilvl w:val="0"/>
          <w:numId w:val="2"/>
        </w:numPr>
        <w:spacing w:after="80" w:line="276"/>
      </w:pPr>
      <w:r>
        <w:rPr>
          <w:rFonts w:ascii="Arial" w:cs="Arial" w:eastAsia="Arial" w:hAnsi="Arial"/>
          <w:b/>
          <w:bCs/>
          <w:color w:val="2C3E50"/>
          <w:sz w:val="22"/>
          <w:szCs w:val="22"/>
        </w:rPr>
        <w:t xml:space="preserve">LLM calls are synchronous per assessment: </w:t>
      </w:r>
      <w:r>
        <w:rPr>
          <w:rFonts w:ascii="Arial" w:cs="Arial" w:eastAsia="Arial" w:hAnsi="Arial"/>
          <w:color w:val="2C3E50"/>
          <w:sz w:val="22"/>
          <w:szCs w:val="22"/>
        </w:rPr>
        <w:t xml:space="preserve">Five parallel assessor calls, each with a 60-second timeout, means one assessment takes up to 60 seconds of wall time and consumes 5 concurrent API slots.</w:t>
      </w:r>
    </w:p>
    <w:p>
      <w:pPr>
        <w:pStyle w:val="ListParagraph"/>
        <w:numPr>
          <w:ilvl w:val="0"/>
          <w:numId w:val="2"/>
        </w:numPr>
        <w:spacing w:after="80" w:line="276"/>
      </w:pPr>
      <w:r>
        <w:rPr>
          <w:rFonts w:ascii="Arial" w:cs="Arial" w:eastAsia="Arial" w:hAnsi="Arial"/>
          <w:b/>
          <w:bCs/>
          <w:color w:val="2C3E50"/>
          <w:sz w:val="22"/>
          <w:szCs w:val="22"/>
        </w:rPr>
        <w:t xml:space="preserve">No caching: </w:t>
      </w:r>
      <w:r>
        <w:rPr>
          <w:rFonts w:ascii="Arial" w:cs="Arial" w:eastAsia="Arial" w:hAnsi="Arial"/>
          <w:color w:val="2C3E50"/>
          <w:sz w:val="22"/>
          <w:szCs w:val="22"/>
        </w:rPr>
        <w:t xml:space="preserve">Candidate dossier is recomputed for every assessment. If 10 assessments reference the same candidate, that’s 10 identical DB queries.</w:t>
      </w:r>
    </w:p>
    <w:p>
      <w:pPr>
        <w:pStyle w:val="ListParagraph"/>
        <w:numPr>
          <w:ilvl w:val="0"/>
          <w:numId w:val="2"/>
        </w:numPr>
        <w:spacing w:after="80" w:line="276"/>
      </w:pPr>
      <w:r>
        <w:rPr>
          <w:rFonts w:ascii="Arial" w:cs="Arial" w:eastAsia="Arial" w:hAnsi="Arial"/>
          <w:b/>
          <w:bCs/>
          <w:color w:val="2C3E50"/>
          <w:sz w:val="22"/>
          <w:szCs w:val="22"/>
        </w:rPr>
        <w:t xml:space="preserve">No queue: </w:t>
      </w:r>
      <w:r>
        <w:rPr>
          <w:rFonts w:ascii="Arial" w:cs="Arial" w:eastAsia="Arial" w:hAnsi="Arial"/>
          <w:color w:val="2C3E50"/>
          <w:sz w:val="22"/>
          <w:szCs w:val="22"/>
        </w:rPr>
        <w:t xml:space="preserve">Assessments run inline on the HTTP request. 50 simultaneous assessments would overwhelm the server.</w:t>
      </w:r>
    </w:p>
    <w:p>
      <w:pPr>
        <w:pStyle w:val="Heading2"/>
        <w:spacing w:after="160" w:before="0" w:line="276"/>
      </w:pPr>
      <w:r>
        <w:rPr>
          <w:rFonts w:ascii="Arial" w:cs="Arial" w:eastAsia="Arial" w:hAnsi="Arial"/>
          <w:color w:val="2C3E50"/>
          <w:sz w:val="22"/>
          <w:szCs w:val="22"/>
        </w:rPr>
        <w:t xml:space="preserve">10.2 Scaling Strategy</w:t>
      </w:r>
    </w:p>
    <w:p>
      <w:pPr>
        <w:pStyle w:val="Heading3"/>
        <w:spacing w:after="160" w:before="0" w:line="276"/>
      </w:pPr>
      <w:r>
        <w:rPr>
          <w:rFonts w:ascii="Arial" w:cs="Arial" w:eastAsia="Arial" w:hAnsi="Arial"/>
          <w:color w:val="2C3E50"/>
          <w:sz w:val="22"/>
          <w:szCs w:val="22"/>
        </w:rPr>
        <w:t xml:space="preserve">Tier 1: Quick Wins (1–2 weeks)</w:t>
      </w:r>
    </w:p>
    <w:p>
      <w:pPr>
        <w:pStyle w:val="ListParagraph"/>
        <w:numPr>
          <w:ilvl w:val="0"/>
          <w:numId w:val="2"/>
        </w:numPr>
        <w:spacing w:after="80" w:line="276"/>
      </w:pPr>
      <w:r>
        <w:rPr>
          <w:rFonts w:ascii="Arial" w:cs="Arial" w:eastAsia="Arial" w:hAnsi="Arial"/>
          <w:b/>
          <w:bCs/>
          <w:color w:val="2C3E50"/>
          <w:sz w:val="22"/>
          <w:szCs w:val="22"/>
        </w:rPr>
        <w:t xml:space="preserve">Redis caching: </w:t>
      </w:r>
      <w:r>
        <w:rPr>
          <w:rFonts w:ascii="Arial" w:cs="Arial" w:eastAsia="Arial" w:hAnsi="Arial"/>
          <w:color w:val="2C3E50"/>
          <w:sz w:val="22"/>
          <w:szCs w:val="22"/>
        </w:rPr>
        <w:t xml:space="preserve">Cache compiled dossiers with a 15-minute TTL. Invalidate on document/note changes.</w:t>
      </w:r>
    </w:p>
    <w:p>
      <w:pPr>
        <w:pStyle w:val="ListParagraph"/>
        <w:numPr>
          <w:ilvl w:val="0"/>
          <w:numId w:val="2"/>
        </w:numPr>
        <w:spacing w:after="80" w:line="276"/>
      </w:pPr>
      <w:r>
        <w:rPr>
          <w:rFonts w:ascii="Arial" w:cs="Arial" w:eastAsia="Arial" w:hAnsi="Arial"/>
          <w:b/>
          <w:bCs/>
          <w:color w:val="2C3E50"/>
          <w:sz w:val="22"/>
          <w:szCs w:val="22"/>
        </w:rPr>
        <w:t xml:space="preserve">Connection pooling: </w:t>
      </w:r>
      <w:r>
        <w:rPr>
          <w:rFonts w:ascii="Arial" w:cs="Arial" w:eastAsia="Arial" w:hAnsi="Arial"/>
          <w:color w:val="2C3E50"/>
          <w:sz w:val="22"/>
          <w:szCs w:val="22"/>
        </w:rPr>
        <w:t xml:space="preserve">Prisma’s default pool is 5 connections. Increase to 20 for production workloads.</w:t>
      </w:r>
    </w:p>
    <w:p>
      <w:pPr>
        <w:pStyle w:val="ListParagraph"/>
        <w:numPr>
          <w:ilvl w:val="0"/>
          <w:numId w:val="2"/>
        </w:numPr>
        <w:spacing w:after="80" w:line="276"/>
      </w:pPr>
      <w:r>
        <w:rPr>
          <w:rFonts w:ascii="Arial" w:cs="Arial" w:eastAsia="Arial" w:hAnsi="Arial"/>
          <w:b/>
          <w:bCs/>
          <w:color w:val="2C3E50"/>
          <w:sz w:val="22"/>
          <w:szCs w:val="22"/>
        </w:rPr>
        <w:t xml:space="preserve">Rate limiting: </w:t>
      </w:r>
      <w:r>
        <w:rPr>
          <w:rFonts w:ascii="Arial" w:cs="Arial" w:eastAsia="Arial" w:hAnsi="Arial"/>
          <w:color w:val="2C3E50"/>
          <w:sz w:val="22"/>
          <w:szCs w:val="22"/>
        </w:rPr>
        <w:t xml:space="preserve">Add per-org rate limits on /assess (e.g., 10 concurrent assessments per org) to prevent single-tenant resource starvation.</w:t>
      </w:r>
    </w:p>
    <w:p>
      <w:pPr>
        <w:pStyle w:val="Heading3"/>
        <w:spacing w:after="160" w:before="0" w:line="276"/>
      </w:pPr>
      <w:r>
        <w:rPr>
          <w:rFonts w:ascii="Arial" w:cs="Arial" w:eastAsia="Arial" w:hAnsi="Arial"/>
          <w:color w:val="2C3E50"/>
          <w:sz w:val="22"/>
          <w:szCs w:val="22"/>
        </w:rPr>
        <w:t xml:space="preserve">Tier 2: Architecture (2–4 weeks)</w:t>
      </w:r>
    </w:p>
    <w:p>
      <w:pPr>
        <w:pStyle w:val="ListParagraph"/>
        <w:numPr>
          <w:ilvl w:val="0"/>
          <w:numId w:val="2"/>
        </w:numPr>
        <w:spacing w:after="80" w:line="276"/>
      </w:pPr>
      <w:r>
        <w:rPr>
          <w:rFonts w:ascii="Arial" w:cs="Arial" w:eastAsia="Arial" w:hAnsi="Arial"/>
          <w:b/>
          <w:bCs/>
          <w:color w:val="2C3E50"/>
          <w:sz w:val="22"/>
          <w:szCs w:val="22"/>
        </w:rPr>
        <w:t xml:space="preserve">Assessment queue: </w:t>
      </w:r>
      <w:r>
        <w:rPr>
          <w:rFonts w:ascii="Arial" w:cs="Arial" w:eastAsia="Arial" w:hAnsi="Arial"/>
          <w:color w:val="2C3E50"/>
          <w:sz w:val="22"/>
          <w:szCs w:val="22"/>
        </w:rPr>
        <w:t xml:space="preserve">Move assessments to a job queue (BullMQ + Redis). The API returns a job ID immediately; the frontend polls for completion. This decouples HTTP timeouts from LLM call duration.</w:t>
      </w:r>
    </w:p>
    <w:p>
      <w:pPr>
        <w:pStyle w:val="ListParagraph"/>
        <w:numPr>
          <w:ilvl w:val="0"/>
          <w:numId w:val="2"/>
        </w:numPr>
        <w:spacing w:after="80" w:line="276"/>
      </w:pPr>
      <w:r>
        <w:rPr>
          <w:rFonts w:ascii="Arial" w:cs="Arial" w:eastAsia="Arial" w:hAnsi="Arial"/>
          <w:b/>
          <w:bCs/>
          <w:color w:val="2C3E50"/>
          <w:sz w:val="22"/>
          <w:szCs w:val="22"/>
        </w:rPr>
        <w:t xml:space="preserve">Horizontal scaling: </w:t>
      </w:r>
      <w:r>
        <w:rPr>
          <w:rFonts w:ascii="Arial" w:cs="Arial" w:eastAsia="Arial" w:hAnsi="Arial"/>
          <w:color w:val="2C3E50"/>
          <w:sz w:val="22"/>
          <w:szCs w:val="22"/>
        </w:rPr>
        <w:t xml:space="preserve">With a queue, you can run multiple worker processes. Each worker picks up assessment jobs independently.</w:t>
      </w:r>
    </w:p>
    <w:p>
      <w:pPr>
        <w:pStyle w:val="ListParagraph"/>
        <w:numPr>
          <w:ilvl w:val="0"/>
          <w:numId w:val="2"/>
        </w:numPr>
        <w:spacing w:after="80" w:line="276"/>
      </w:pPr>
      <w:r>
        <w:rPr>
          <w:rFonts w:ascii="Arial" w:cs="Arial" w:eastAsia="Arial" w:hAnsi="Arial"/>
          <w:b/>
          <w:bCs/>
          <w:color w:val="2C3E50"/>
          <w:sz w:val="22"/>
          <w:szCs w:val="22"/>
        </w:rPr>
        <w:t xml:space="preserve">Streaming optimization: </w:t>
      </w:r>
      <w:r>
        <w:rPr>
          <w:rFonts w:ascii="Arial" w:cs="Arial" w:eastAsia="Arial" w:hAnsi="Arial"/>
          <w:color w:val="2C3E50"/>
          <w:sz w:val="22"/>
          <w:szCs w:val="22"/>
        </w:rPr>
        <w:t xml:space="preserve">The SSE endpoint currently holds a connection open for the entire assessment. Switch to WebSocket with reconnection support.</w:t>
      </w:r>
    </w:p>
    <w:p>
      <w:pPr>
        <w:pStyle w:val="Heading3"/>
        <w:spacing w:after="160" w:before="0" w:line="276"/>
      </w:pPr>
      <w:r>
        <w:rPr>
          <w:rFonts w:ascii="Arial" w:cs="Arial" w:eastAsia="Arial" w:hAnsi="Arial"/>
          <w:color w:val="2C3E50"/>
          <w:sz w:val="22"/>
          <w:szCs w:val="22"/>
        </w:rPr>
        <w:t xml:space="preserve">Tier 3: Enterprise Scale (1–2 months)</w:t>
      </w:r>
    </w:p>
    <w:p>
      <w:pPr>
        <w:pStyle w:val="ListParagraph"/>
        <w:numPr>
          <w:ilvl w:val="0"/>
          <w:numId w:val="2"/>
        </w:numPr>
        <w:spacing w:after="80" w:line="276"/>
      </w:pPr>
      <w:r>
        <w:rPr>
          <w:rFonts w:ascii="Arial" w:cs="Arial" w:eastAsia="Arial" w:hAnsi="Arial"/>
          <w:b/>
          <w:bCs/>
          <w:color w:val="2C3E50"/>
          <w:sz w:val="22"/>
          <w:szCs w:val="22"/>
        </w:rPr>
        <w:t xml:space="preserve">Multi-region deployment: </w:t>
      </w:r>
      <w:r>
        <w:rPr>
          <w:rFonts w:ascii="Arial" w:cs="Arial" w:eastAsia="Arial" w:hAnsi="Arial"/>
          <w:color w:val="2C3E50"/>
          <w:sz w:val="22"/>
          <w:szCs w:val="22"/>
        </w:rPr>
        <w:t xml:space="preserve">Docker Compose is fine for single-server. For enterprise, move to Kubernetes with per-region database replicas.</w:t>
      </w:r>
    </w:p>
    <w:p>
      <w:pPr>
        <w:pStyle w:val="ListParagraph"/>
        <w:numPr>
          <w:ilvl w:val="0"/>
          <w:numId w:val="2"/>
        </w:numPr>
        <w:spacing w:after="80" w:line="276"/>
      </w:pPr>
      <w:r>
        <w:rPr>
          <w:rFonts w:ascii="Arial" w:cs="Arial" w:eastAsia="Arial" w:hAnsi="Arial"/>
          <w:b/>
          <w:bCs/>
          <w:color w:val="2C3E50"/>
          <w:sz w:val="22"/>
          <w:szCs w:val="22"/>
        </w:rPr>
        <w:t xml:space="preserve">LLM cost optimization: </w:t>
      </w:r>
      <w:r>
        <w:rPr>
          <w:rFonts w:ascii="Arial" w:cs="Arial" w:eastAsia="Arial" w:hAnsi="Arial"/>
          <w:color w:val="2C3E50"/>
          <w:sz w:val="22"/>
          <w:szCs w:val="22"/>
        </w:rPr>
        <w:t xml:space="preserve">Track per-assessment token usage. For screening interviews, use smaller/cheaper models (Gemini Flash, Haiku). Reserve Opus/GPT-5.4 for final-round deep assessments.</w:t>
      </w:r>
    </w:p>
    <w:p>
      <w:pPr>
        <w:pStyle w:val="ListParagraph"/>
        <w:numPr>
          <w:ilvl w:val="0"/>
          <w:numId w:val="2"/>
        </w:numPr>
        <w:spacing w:after="80" w:line="276"/>
      </w:pPr>
      <w:r>
        <w:rPr>
          <w:rFonts w:ascii="Arial" w:cs="Arial" w:eastAsia="Arial" w:hAnsi="Arial"/>
          <w:b/>
          <w:bCs/>
          <w:color w:val="2C3E50"/>
          <w:sz w:val="22"/>
          <w:szCs w:val="22"/>
        </w:rPr>
        <w:t xml:space="preserve">Tenant isolation: </w:t>
      </w:r>
      <w:r>
        <w:rPr>
          <w:rFonts w:ascii="Arial" w:cs="Arial" w:eastAsia="Arial" w:hAnsi="Arial"/>
          <w:color w:val="2C3E50"/>
          <w:sz w:val="22"/>
          <w:szCs w:val="22"/>
        </w:rPr>
        <w:t xml:space="preserve">For enterprise customers, offer dedicated database schemas or separate databases per org for data sovereignty compliance.</w:t>
      </w:r>
    </w:p>
    <w:p>
      <w:r>
        <w:br w:type="page"/>
      </w:r>
    </w:p>
    <w:p>
      <w:pPr>
        <w:pStyle w:val="Heading1"/>
        <w:spacing w:after="160" w:before="0" w:line="276"/>
      </w:pPr>
      <w:r>
        <w:rPr>
          <w:rFonts w:ascii="Arial" w:cs="Arial" w:eastAsia="Arial" w:hAnsi="Arial"/>
          <w:color w:val="2C3E50"/>
          <w:sz w:val="22"/>
          <w:szCs w:val="22"/>
        </w:rPr>
        <w:t xml:space="preserve">11. Non-Breaking Implementation Strategy</w:t>
      </w:r>
    </w:p>
    <w:p>
      <w:pPr>
        <w:spacing w:after="160" w:before="0" w:line="276"/>
      </w:pPr>
      <w:r>
        <w:rPr>
          <w:rFonts w:ascii="Arial" w:cs="Arial" w:eastAsia="Arial" w:hAnsi="Arial"/>
          <w:color w:val="2C3E50"/>
          <w:sz w:val="22"/>
          <w:szCs w:val="22"/>
        </w:rPr>
        <w:t xml:space="preserve">Every recommendation in this report can be implemented incrementally without disrupting existing functionality. The approach follows three principles:</w:t>
      </w:r>
    </w:p>
    <w:p>
      <w:pPr>
        <w:pStyle w:val="ListParagraph"/>
        <w:numPr>
          <w:ilvl w:val="0"/>
          <w:numId w:val="2"/>
        </w:numPr>
        <w:spacing w:after="80" w:line="276"/>
      </w:pPr>
      <w:r>
        <w:rPr>
          <w:rFonts w:ascii="Arial" w:cs="Arial" w:eastAsia="Arial" w:hAnsi="Arial"/>
          <w:b/>
          <w:bCs/>
          <w:color w:val="2C3E50"/>
          <w:sz w:val="22"/>
          <w:szCs w:val="22"/>
        </w:rPr>
        <w:t xml:space="preserve">Feature flags: </w:t>
      </w:r>
      <w:r>
        <w:rPr>
          <w:rFonts w:ascii="Arial" w:cs="Arial" w:eastAsia="Arial" w:hAnsi="Arial"/>
          <w:color w:val="2C3E50"/>
          <w:sz w:val="22"/>
          <w:szCs w:val="22"/>
        </w:rPr>
        <w:t xml:space="preserve">New capabilities (demo mode, practice mode, influence mapping) ship behind feature flags. Enable per-org, per-user, or globally.</w:t>
      </w:r>
    </w:p>
    <w:p>
      <w:pPr>
        <w:pStyle w:val="ListParagraph"/>
        <w:numPr>
          <w:ilvl w:val="0"/>
          <w:numId w:val="2"/>
        </w:numPr>
        <w:spacing w:after="80" w:line="276"/>
      </w:pPr>
      <w:r>
        <w:rPr>
          <w:rFonts w:ascii="Arial" w:cs="Arial" w:eastAsia="Arial" w:hAnsi="Arial"/>
          <w:b/>
          <w:bCs/>
          <w:color w:val="2C3E50"/>
          <w:sz w:val="22"/>
          <w:szCs w:val="22"/>
        </w:rPr>
        <w:t xml:space="preserve">Additive schema changes: </w:t>
      </w:r>
      <w:r>
        <w:rPr>
          <w:rFonts w:ascii="Arial" w:cs="Arial" w:eastAsia="Arial" w:hAnsi="Arial"/>
          <w:color w:val="2C3E50"/>
          <w:sz w:val="22"/>
          <w:szCs w:val="22"/>
        </w:rPr>
        <w:t xml:space="preserve">New tables and nullable columns only. No dropping or renaming existing fields. Prisma migrations handle this cleanly.</w:t>
      </w:r>
    </w:p>
    <w:p>
      <w:pPr>
        <w:pStyle w:val="ListParagraph"/>
        <w:numPr>
          <w:ilvl w:val="0"/>
          <w:numId w:val="2"/>
        </w:numPr>
        <w:spacing w:after="80" w:line="276"/>
      </w:pPr>
      <w:r>
        <w:rPr>
          <w:rFonts w:ascii="Arial" w:cs="Arial" w:eastAsia="Arial" w:hAnsi="Arial"/>
          <w:b/>
          <w:bCs/>
          <w:color w:val="2C3E50"/>
          <w:sz w:val="22"/>
          <w:szCs w:val="22"/>
        </w:rPr>
        <w:t xml:space="preserve">API versioning: </w:t>
      </w:r>
      <w:r>
        <w:rPr>
          <w:rFonts w:ascii="Arial" w:cs="Arial" w:eastAsia="Arial" w:hAnsi="Arial"/>
          <w:color w:val="2C3E50"/>
          <w:sz w:val="22"/>
          <w:szCs w:val="22"/>
        </w:rPr>
        <w:t xml:space="preserve">New endpoints live under /api/v2/. Existing /api/ routes remain unchanged. Deprecate gradually with response headers.</w:t>
      </w:r>
    </w:p>
    <w:p>
      <w:pPr>
        <w:spacing w:after="200" w:before="0" w:line="276"/>
      </w:pPr>
      <w:r>
        <w:rPr>
          <w:rFonts w:ascii="Arial" w:cs="Arial" w:eastAsia="Arial" w:hAnsi="Arial"/>
          <w:color w:val="2C3E50"/>
          <w:sz w:val="22"/>
          <w:szCs w:val="22"/>
        </w:rPr>
        <w:t xml:space="preserve"/>
      </w:r>
    </w:p>
    <w:p>
      <w:pPr>
        <w:pStyle w:val="Heading1"/>
        <w:spacing w:after="160" w:before="0" w:line="276"/>
      </w:pPr>
      <w:r>
        <w:rPr>
          <w:rFonts w:ascii="Arial" w:cs="Arial" w:eastAsia="Arial" w:hAnsi="Arial"/>
          <w:color w:val="2C3E50"/>
          <w:sz w:val="22"/>
          <w:szCs w:val="22"/>
        </w:rPr>
        <w:t xml:space="preserve">12. Priority Roadmap</w:t>
      </w:r>
    </w:p>
    <w:p>
      <w:pPr>
        <w:spacing w:after="160" w:before="0" w:line="276"/>
      </w:pPr>
      <w:r>
        <w:rPr>
          <w:rFonts w:ascii="Arial" w:cs="Arial" w:eastAsia="Arial" w:hAnsi="Arial"/>
          <w:color w:val="2C3E50"/>
          <w:sz w:val="22"/>
          <w:szCs w:val="22"/>
        </w:rPr>
        <w:t xml:space="preserve">The following matrix ranks all initiatives by urgency, effort, and impact:</w:t>
      </w:r>
    </w:p>
    <w:p>
      <w:pPr>
        <w:spacing w:after="80" w:before="0" w:line="276"/>
      </w:pPr>
      <w:r>
        <w:rPr>
          <w:rFonts w:ascii="Arial" w:cs="Arial" w:eastAsia="Arial" w:hAnsi="Arial"/>
          <w:color w:val="2C3E5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160"/>
        <w:gridCol w:w="2000"/>
        <w:gridCol w:w="2000"/>
      </w:tblGrid>
      <w:tr>
        <w:tc>
          <w:tcPr>
            <w:tcW w:type="dxa" w:w="120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c>
          <w:tcPr>
            <w:tcW w:type="dxa" w:w="416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Initiative</w:t>
            </w:r>
          </w:p>
        </w:tc>
        <w:tc>
          <w:tcPr>
            <w:tcW w:type="dxa" w:w="200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Effort</w:t>
            </w:r>
          </w:p>
        </w:tc>
        <w:tc>
          <w:tcPr>
            <w:tcW w:type="dxa" w:w="2000"/>
            <w:tcBorders>
              <w:top w:val="single" w:color="D5D8DC" w:sz="1"/>
              <w:left w:val="single" w:color="D5D8DC" w:sz="1"/>
              <w:bottom w:val="single" w:color="D5D8DC" w:sz="1"/>
              <w:right w:val="single" w:color="D5D8DC"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C0392B"/>
                <w:sz w:val="20"/>
                <w:szCs w:val="20"/>
              </w:rPr>
              <w:t xml:space="preserve">P0</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Input validation (Zod) + rate limiting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1 week</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Critical</w:t>
            </w:r>
          </w:p>
        </w:tc>
      </w:tr>
      <w:tr>
        <w:tc>
          <w:tcPr>
            <w:tcW w:type="dxa" w:w="12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C0392B"/>
                <w:sz w:val="20"/>
                <w:szCs w:val="20"/>
              </w:rPr>
              <w:t xml:space="preserve">P0</w:t>
            </w:r>
          </w:p>
        </w:tc>
        <w:tc>
          <w:tcPr>
            <w:tcW w:type="dxa" w:w="41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Write-ahead log for data resilience</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1 week</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Critical</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C0392B"/>
                <w:sz w:val="20"/>
                <w:szCs w:val="20"/>
              </w:rPr>
              <w:t xml:space="preserve">P0</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Structured logging + error observability</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3 days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Critical</w:t>
            </w:r>
          </w:p>
        </w:tc>
      </w:tr>
      <w:tr>
        <w:tc>
          <w:tcPr>
            <w:tcW w:type="dxa" w:w="12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C0392B"/>
                <w:sz w:val="20"/>
                <w:szCs w:val="20"/>
              </w:rPr>
              <w:t xml:space="preserve">P0</w:t>
            </w:r>
          </w:p>
        </w:tc>
        <w:tc>
          <w:tcPr>
            <w:tcW w:type="dxa" w:w="41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Email verification + secure onboarding</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1 week</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Critical</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E67E22"/>
                <w:sz w:val="20"/>
                <w:szCs w:val="20"/>
              </w:rPr>
              <w:t xml:space="preserve">P1</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Demo mode (zero-signup trial)</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2 weeks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Very High</w:t>
            </w:r>
          </w:p>
        </w:tc>
      </w:tr>
      <w:tr>
        <w:tc>
          <w:tcPr>
            <w:tcW w:type="dxa" w:w="12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E67E22"/>
                <w:sz w:val="20"/>
                <w:szCs w:val="20"/>
              </w:rPr>
              <w:t xml:space="preserve">P1</w:t>
            </w:r>
          </w:p>
        </w:tc>
        <w:tc>
          <w:tcPr>
            <w:tcW w:type="dxa" w:w="41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Redis caching + assessment queue</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2 weeks</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Very High</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E67E22"/>
                <w:sz w:val="20"/>
                <w:szCs w:val="20"/>
              </w:rPr>
              <w:t xml:space="preserve">P1</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Test suite (unit + integration)</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3 weeks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Very High</w:t>
            </w:r>
          </w:p>
        </w:tc>
      </w:tr>
      <w:tr>
        <w:tc>
          <w:tcPr>
            <w:tcW w:type="dxa" w:w="12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E67E22"/>
                <w:sz w:val="20"/>
                <w:szCs w:val="20"/>
              </w:rPr>
              <w:t xml:space="preserve">P1</w:t>
            </w:r>
          </w:p>
        </w:tc>
        <w:tc>
          <w:tcPr>
            <w:tcW w:type="dxa" w:w="41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Interview scaffolds (structured protocols)</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2 weeks</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High</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2E86AB"/>
                <w:sz w:val="20"/>
                <w:szCs w:val="20"/>
              </w:rPr>
              <w:t xml:space="preserve">P2</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AssayMode abstraction (practice/coaching)</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3 weeks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High</w:t>
            </w:r>
          </w:p>
        </w:tc>
      </w:tr>
      <w:tr>
        <w:tc>
          <w:tcPr>
            <w:tcW w:type="dxa" w:w="12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2E86AB"/>
                <w:sz w:val="20"/>
                <w:szCs w:val="20"/>
              </w:rPr>
              <w:t xml:space="preserve">P2</w:t>
            </w:r>
          </w:p>
        </w:tc>
        <w:tc>
          <w:tcPr>
            <w:tcW w:type="dxa" w:w="41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Evidence-linked reporting</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2 weeks</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High</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2E86AB"/>
                <w:sz w:val="20"/>
                <w:szCs w:val="20"/>
              </w:rPr>
              <w:t xml:space="preserve">P2</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Emotion-adaptive interviewer</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2 weeks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High</w:t>
            </w:r>
          </w:p>
        </w:tc>
      </w:tr>
      <w:tr>
        <w:tc>
          <w:tcPr>
            <w:tcW w:type="dxa" w:w="12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2E86AB"/>
                <w:sz w:val="20"/>
                <w:szCs w:val="20"/>
              </w:rPr>
              <w:t xml:space="preserve">P2</w:t>
            </w:r>
          </w:p>
        </w:tc>
        <w:tc>
          <w:tcPr>
            <w:tcW w:type="dxa" w:w="41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Role-based setup presets</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1 week</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Medium</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2E86AB"/>
                <w:sz w:val="20"/>
                <w:szCs w:val="20"/>
              </w:rPr>
              <w:t xml:space="preserve">P3</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Ethical influence mapping (Phase 1)</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4 weeks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Medium</w:t>
            </w:r>
          </w:p>
        </w:tc>
      </w:tr>
      <w:tr>
        <w:tc>
          <w:tcPr>
            <w:tcW w:type="dxa" w:w="12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b/>
                <w:bCs/>
                <w:color w:val="2E86AB"/>
                <w:sz w:val="20"/>
                <w:szCs w:val="20"/>
              </w:rPr>
              <w:t xml:space="preserve">P3</w:t>
            </w:r>
          </w:p>
        </w:tc>
        <w:tc>
          <w:tcPr>
            <w:tcW w:type="dxa" w:w="416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Predictive calibration model</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6 weeks</w:t>
            </w:r>
          </w:p>
        </w:tc>
        <w:tc>
          <w:tcPr>
            <w:tcW w:type="dxa" w:w="2000"/>
            <w:tcBorders>
              <w:top w:val="single" w:color="D5D8DC" w:sz="1"/>
              <w:left w:val="single" w:color="D5D8DC" w:sz="1"/>
              <w:bottom w:val="single" w:color="D5D8DC" w:sz="1"/>
              <w:right w:val="single" w:color="D5D8DC" w:sz="1"/>
            </w:tcBorders>
            <w:shd w:fill="F0F3F5"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Medium</w:t>
            </w:r>
          </w:p>
        </w:tc>
      </w:tr>
      <w:tr>
        <w:tc>
          <w:tcPr>
            <w:tcW w:type="dxa" w:w="1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b/>
                <w:bCs/>
                <w:color w:val="2E86AB"/>
                <w:sz w:val="20"/>
                <w:szCs w:val="20"/>
              </w:rPr>
              <w:t xml:space="preserve">P3</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Multi-region Kubernetes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4 weeks</w:t>
            </w:r>
          </w:p>
        </w:tc>
        <w:tc>
          <w:tcPr>
            <w:tcW w:type="dxa" w:w="2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pPr>
              <w:spacing w:after="0" w:before="0" w:line="276"/>
            </w:pPr>
            <w:r>
              <w:rPr>
                <w:rFonts w:ascii="Arial" w:cs="Arial" w:eastAsia="Arial" w:hAnsi="Arial"/>
                <w:color w:val="2C3E50"/>
                <w:sz w:val="20"/>
                <w:szCs w:val="20"/>
              </w:rPr>
              <w:t xml:space="preserve">Medium</w:t>
            </w:r>
          </w:p>
        </w:tc>
      </w:tr>
    </w:tbl>
    <w:p>
      <w:pPr>
        <w:spacing w:after="200" w:before="0" w:line="276"/>
      </w:pPr>
      <w:r>
        <w:rPr>
          <w:rFonts w:ascii="Arial" w:cs="Arial" w:eastAsia="Arial" w:hAnsi="Arial"/>
          <w:color w:val="2C3E50"/>
          <w:sz w:val="22"/>
          <w:szCs w:val="22"/>
        </w:rPr>
        <w:t xml:space="preserve"/>
      </w:r>
    </w:p>
    <w:p>
      <w:pPr>
        <w:spacing w:after="160" w:before="0" w:line="276"/>
      </w:pPr>
      <w:r>
        <w:rPr>
          <w:rFonts w:ascii="Arial" w:cs="Arial" w:eastAsia="Arial" w:hAnsi="Arial"/>
          <w:b/>
          <w:bCs/>
          <w:color w:val="2C3E50"/>
          <w:sz w:val="22"/>
          <w:szCs w:val="22"/>
        </w:rPr>
        <w:t xml:space="preserve">Bottom line: </w:t>
      </w:r>
      <w:r>
        <w:rPr>
          <w:rFonts w:ascii="Arial" w:cs="Arial" w:eastAsia="Arial" w:hAnsi="Arial"/>
          <w:color w:val="2C3E50"/>
          <w:sz w:val="22"/>
          <w:szCs w:val="22"/>
        </w:rPr>
        <w:t xml:space="preserve">Assay Manager AI has a genuinely differentiated core (the multi-LLM assessor chamber) and premium execution quality. The path from here is about hardening the foundation (P0), accelerating adoption (P1), and building the moat (P2–P3). None of these changes require rethinking what you’ve built — they extend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Assay Manager AI — Strategic Improvement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963B" w:sz="3" w:space="4"/>
      </w:pBd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86A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2026-04-08T08:47:07.196Z</dcterms:created>
  <dcterms:modified xsi:type="dcterms:W3CDTF">2026-04-08T08:47:07.196Z</dcterms:modified>
</cp:coreProperties>
</file>

<file path=docProps/custom.xml><?xml version="1.0" encoding="utf-8"?>
<Properties xmlns="http://schemas.openxmlformats.org/officeDocument/2006/custom-properties" xmlns:vt="http://schemas.openxmlformats.org/officeDocument/2006/docPropsVTypes"/>
</file>