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2-16-16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Lafayette College Library invites applications for the new position of Assistant Director of Digital Scholarship Services (DSS). The successful candidate will be adaptable to changing technologies, excited to take on new challenges, and interested in helping to build a new model for digital humanities within the liberal arts context.</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In support of our holistic approach to digital scholarship from classroom to large-scale research projects, the Assistant Director, in collaboration with a research and instruction librarian colleague, will be the driver of student engagement and integration of DH methods into the curriculum. S/he will work alongside the DSS director, who leads development of digital library infrastructure, implementation of long-term faculty research projects, and library digitization efforts. The Director and Assistant Director will work together with librarians from the departments of Research and Instruction and Special Collections to develop strategic goals for digital scholarship and to advance the community of digital practitioners on campus.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Assistant Director will play a critical role on the Library’s DSS team in connecting diverse stakeholders across campus including developers, faculty, librarians, and students. Responsibilities include outreach programs such as public presentations, workshops, the recruitment of outside speakers, publicity for existing projects and initiatives, and the identification of potential long-term projects for DSS development. Other responsibilities include co-directing student internships and facilitating student research projects; helping faculty and students articulate project requirements; and managing cloud-based DH tools in support of these goals.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We seek applicants with a commitment to the mission and ethos of the academic library community. In accordance with Lafayette Library's extensive involvement with professional and scholarly organizations, programs, and initiatives (e.g. DLF, CNI, DuraSpace), applicants should have a strong interest in active participation on a national level.</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Main Responsibilities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Project management</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Digital project consultation and development</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Strategic planning</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Direction of student research projects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Maintain active knowledge of current DH methods and tools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Facilitate workshops and presentations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Coordinate communication and outreach including web content writing and social media</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Foster the community of DH practitioners on campus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Connect digital projects with the teaching and research mission of the library</w:t>
      </w:r>
    </w:p>
    <w:p w:rsidR="00000000" w:rsidDel="00000000" w:rsidP="00000000" w:rsidRDefault="00000000" w:rsidRPr="00000000">
      <w:pPr>
        <w:spacing w:after="160" w:line="342.85714285714283" w:lineRule="auto"/>
        <w:contextualSpacing w:val="0"/>
      </w:pPr>
      <w:r w:rsidDel="00000000" w:rsidR="00000000" w:rsidRPr="00000000">
        <w:rPr>
          <w:b w:val="1"/>
          <w:color w:val="545556"/>
          <w:sz w:val="21"/>
          <w:szCs w:val="21"/>
          <w:highlight w:val="white"/>
          <w:rtl w:val="0"/>
        </w:rPr>
        <w:t xml:space="preserve">Required Qualifications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Advanced degree in relevant discipline</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2-3 years of project management experience</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proficiency in one or more areas of DH (e.g. text mining, data visualization, mapping etc.)</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Post-secondary teaching experience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For consideration, please submit a resume and cover letter addressing job qualifications and three professional references to: Neil McElroy, Dean Libraries, Lafayette College, Easton, PA 18042 or via email to: </w:t>
      </w:r>
      <w:r w:rsidDel="00000000" w:rsidR="00000000" w:rsidRPr="00000000">
        <w:rPr>
          <w:color w:val="2e6da4"/>
          <w:sz w:val="21"/>
          <w:szCs w:val="21"/>
          <w:highlight w:val="white"/>
          <w:rtl w:val="0"/>
        </w:rPr>
        <w:t xml:space="preserve">castells@lafayette.edu</w:t>
      </w: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Lafayette College is a highly selective, private liberal arts college with degree programs in the arts, sciences, and engineering. Lafayette received the 2014 ACRL Excellence in Academic Libraries Award, which recognized, among other accomplishments, the Library’s innovative approaches to digital scholarship. Librarians at Lafayette hold faculty status, without rank or tenure, and participate in college governance as members of the Faculty. The Library strongly encourages and generously supports professional development.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