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5-28-15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jc w:val="center"/>
      </w:pPr>
      <w:r w:rsidDel="00000000" w:rsidR="00000000" w:rsidRPr="00000000">
        <w:rPr>
          <w:b w:val="1"/>
          <w:color w:val="545556"/>
          <w:sz w:val="21"/>
          <w:szCs w:val="21"/>
          <w:highlight w:val="white"/>
          <w:rtl w:val="0"/>
        </w:rPr>
        <w:t xml:space="preserve">Digital Humanities Specialist</w:t>
      </w:r>
    </w:p>
    <w:p w:rsidR="00000000" w:rsidDel="00000000" w:rsidP="00000000" w:rsidRDefault="00000000" w:rsidRPr="00000000">
      <w:pPr>
        <w:spacing w:after="160" w:line="342.85714285714283" w:lineRule="auto"/>
        <w:contextualSpacing w:val="0"/>
        <w:jc w:val="center"/>
      </w:pPr>
      <w:r w:rsidDel="00000000" w:rsidR="00000000" w:rsidRPr="00000000">
        <w:rPr>
          <w:b w:val="1"/>
          <w:color w:val="545556"/>
          <w:sz w:val="21"/>
          <w:szCs w:val="21"/>
          <w:highlight w:val="white"/>
          <w:rtl w:val="0"/>
        </w:rPr>
        <w:t xml:space="preserve">Assistant or Associate Professor</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Purdue University Libraries (PUL) seeks a highly motivated, innovative, and learner-centered Digital Humanities (DH) Specialist to join a collaborative, dynamic team who carry out a robust program of integrated information literacy, data services, scholarly communication, and collaborative research, and, as a Libraries faculty member, to contribute to the research and scholarship in those areas.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DH Specialist will establish a dynamic multifaceted digital humanities program in the Libraries’ Division of Humanities, Social Science, Education and Business (HSSEB) and collaborate with other Purdue faculty to meet the growing demand for digital scholarship at Purdue. Working closely with the Libraries’ GIS specialist, archivists, and Research Data unit, the successful candidate will consult and collaborate with faculty and students on techniques and methodologies supporting the digital humanities and provide instruction in their use. The DH Specialist may serve as a subject liaison to at least one humanities discipline.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Required qualifications: </w:t>
      </w:r>
      <w:r w:rsidDel="00000000" w:rsidR="00000000" w:rsidRPr="00000000">
        <w:rPr>
          <w:color w:val="545556"/>
          <w:sz w:val="21"/>
          <w:szCs w:val="21"/>
          <w:highlight w:val="white"/>
          <w:rtl w:val="0"/>
        </w:rPr>
        <w:t xml:space="preserve">Master’s degree from an ALA-accredited library school or doctoral degree in relevant discipline; demonstrated knowledge of digital research tools and approaches (e.g., text mining, data visualization, and image analysis) and/or related techniques; knowledge of data issues in the research/knowledge creation lifecycle and familiarity with the challenges faced by digital project lifecycle management; demonstrated interest in the applications of current and emerging technologies to meet the changing needs of users; demonstrated commitment to user instruction and to consultation with users on their information needs; strong service orientation; excellent communication and presentation skills; and ability to work well with all levels of users and staff.</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Desired Qualifications: </w:t>
      </w:r>
      <w:r w:rsidDel="00000000" w:rsidR="00000000" w:rsidRPr="00000000">
        <w:rPr>
          <w:color w:val="545556"/>
          <w:sz w:val="21"/>
          <w:szCs w:val="21"/>
          <w:highlight w:val="white"/>
          <w:rtl w:val="0"/>
        </w:rPr>
        <w:t xml:space="preserve">Familiarity with the challenges of long-term archiving.</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Salary and benefits: </w:t>
      </w:r>
      <w:r w:rsidDel="00000000" w:rsidR="00000000" w:rsidRPr="00000000">
        <w:rPr>
          <w:color w:val="545556"/>
          <w:sz w:val="21"/>
          <w:szCs w:val="21"/>
          <w:highlight w:val="white"/>
          <w:rtl w:val="0"/>
        </w:rPr>
        <w:t xml:space="preserve">Salary commensurate with experience in the context of Purdue University’s salary structure. Faculty tenure-track position with a twelve-month appointment. Rank of assistant or associate professor depending on qualifications. Start-up funds in support of research are provided for computer/software/equipment, for travel/professional development, and for a half time graduate assistant for two years. Purdue provides a generous fringe benefit package that includes retirement benefits as well as health, disability and life insurance, 22 annual vacation days, and tuition support for employee, children, and spouse/same sex domestic partner. Purdue University is responsive to the needs of dual career couples.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Application process: </w:t>
      </w:r>
      <w:r w:rsidDel="00000000" w:rsidR="00000000" w:rsidRPr="00000000">
        <w:rPr>
          <w:color w:val="545556"/>
          <w:sz w:val="21"/>
          <w:szCs w:val="21"/>
          <w:highlight w:val="white"/>
          <w:rtl w:val="0"/>
        </w:rPr>
        <w:t xml:space="preserve">To apply, please send a resume, cover letter, and the names and contact information of at least three references via email to Carole Tolley, Libraries Human Resources Coordinator, at </w:t>
      </w:r>
      <w:r w:rsidDel="00000000" w:rsidR="00000000" w:rsidRPr="00000000">
        <w:rPr>
          <w:color w:val="2e6da4"/>
          <w:sz w:val="21"/>
          <w:szCs w:val="21"/>
          <w:highlight w:val="white"/>
          <w:rtl w:val="0"/>
        </w:rPr>
        <w:t xml:space="preserve">libhr@purdue.edu</w:t>
      </w:r>
      <w:r w:rsidDel="00000000" w:rsidR="00000000" w:rsidRPr="00000000">
        <w:rPr>
          <w:color w:val="545556"/>
          <w:sz w:val="21"/>
          <w:szCs w:val="21"/>
          <w:highlight w:val="white"/>
          <w:rtl w:val="0"/>
        </w:rPr>
        <w:t xml:space="preserve">. Please place “Digital Humanities Specialist” in the subject line of the email. Nominations for the position will be accepted and should be sent to the same email address. Review of applications will continue until the position is filled. Questions may be directed to Carole Tolley at 765-494-2899 or the above email address. A background check will be required for this position.</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i w:val="1"/>
          <w:color w:val="545556"/>
          <w:sz w:val="21"/>
          <w:szCs w:val="21"/>
          <w:highlight w:val="white"/>
          <w:rtl w:val="0"/>
        </w:rPr>
        <w:t xml:space="preserve">The full job announcement can be seen </w:t>
      </w:r>
      <w:hyperlink r:id="rId5">
        <w:r w:rsidDel="00000000" w:rsidR="00000000" w:rsidRPr="00000000">
          <w:rPr>
            <w:b w:val="1"/>
            <w:i w:val="1"/>
            <w:color w:val="2e6da4"/>
            <w:sz w:val="21"/>
            <w:szCs w:val="21"/>
            <w:highlight w:val="white"/>
            <w:u w:val="single"/>
            <w:rtl w:val="0"/>
          </w:rPr>
          <w:t xml:space="preserve">www.lib.purdue.edu/about/employment</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lib.purdue.edu/about/employment" TargetMode="External"/><Relationship Id="rId6" Type="http://schemas.openxmlformats.org/officeDocument/2006/relationships/hyperlink" Target="http://www.lib.purdue.edu/about/employment" TargetMode="External"/></Relationships>
</file>