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8-12-15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Digital Humanities Specialist (DHS) will develop and manage strategies and infrastructure for curating digital humanities content and data and will author and/or co-author new digital humanities resources or scholarship. Reporting to Assoc. Professor (Religious Studies, College of the Pacific) and the Head of Special Collections (Library), the DHS will work in collaborative, digital research initiatives in the NEH-funded project KELLIA (Koptische/Coptic Electronic Language and Literature International Alliance) and in the William Knox Holt Memorial Library.</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functions listed are representative of duties typically performed by this position. Staff may perform some but not all and/or may be assigned additional duties.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1. Develops and manages strategies and infrastructure for curating digital humanities content and data.</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2. Authors/co-authors new digital humanities resources or scholarship.</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3. Provides web development and programming for humanities research.</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4. Contributes to original research in digital humanities.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5. Contributes to planning and decision-making about KELLIA’s technological development and long-term sustainability.</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6. Identifies, recommends, and implements linked open data technologies for humanities research.</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7. Identifies, recommends, and implements digital asset management and digital archiving in the Library.</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8. Participates in archival processing and reference duties in a special collections environment.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9. Designs forward-facing, interactive digital initiatives, websites, and/or exhibits.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10. Provides library and special collections instruction.</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Education/Work Experience/Certifications: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1) MA in Digital Humanities OR 2) MLIS from an accredited ALA program or MA in Archival Studies with demonstrated digital/technological training/certification OR 3) MA in a Humanities discipline or related field with demonstrated digital/technological training or certification</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Documented research and/or teaching experience in digital scholarship or pedagogy in a humanities discipline or related field</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Demonstrated experience in web development and programming for research and/or teaching in the humanities or a related field (including archival studies and library and information science)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Skills/Knowledge and Expertise: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Required skills/knowledge and expertise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Excellent interpersonal, presentation, and communication skills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Demonstrated expertise in digital humanities technologies of web development (HTML, CSS, PHP, JavaScript), text encoding (XML), and programming (Python)</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Commitment to open access technologies and data for the humanities or a related field</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Proven ability to work collaboratively in team-based initiatives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Proven ability to contribute to original scholarship in the humanities or a related field</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Enthusiasm to build international and interdisciplinary research partnerships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Proven ability to work successfully with diverse populations and demonstrated commitment to promote and enhance diversity and inclusion</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Knowledge of ancient languages, while welcome, is not a requirement for this position.</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Preferred skills/knowledge and expertise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Demonstrated expertise with data curation techniques for a variety of digitized and born-digital media (text, code, images, music, etc.) and tools (e.g., DSpace, EPrints, Fedora, etc.)</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Demonstrated experience with linked data technologies and methodologies (e.g., JSON, RDF)</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Experience managing CMS and LMS systems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Requires extended periods of sitting and repetitive hand/wrist motion while using computer keyboard and phone. Occasional standing, walking across campus, climbing stairs, bending, stooping, and reaching.</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Work Environment/Work Week/Travel</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Work is primarily performed in a standard office environment.</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Work performed during standard business hours.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Some travel may be required, 1-3 times per year.</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Passport or ability to obtain a passport strongly preferred.</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For additional information see: </w:t>
      </w:r>
      <w:hyperlink r:id="rId5">
        <w:r w:rsidDel="00000000" w:rsidR="00000000" w:rsidRPr="00000000">
          <w:rPr>
            <w:color w:val="2e6da4"/>
            <w:sz w:val="21"/>
            <w:szCs w:val="21"/>
            <w:highlight w:val="white"/>
            <w:u w:val="single"/>
            <w:rtl w:val="0"/>
          </w:rPr>
          <w:t xml:space="preserve">https://pacific.peopleadmin.com/postings/5822</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acific.peopleadmin.com/postings/5822" TargetMode="External"/><Relationship Id="rId6" Type="http://schemas.openxmlformats.org/officeDocument/2006/relationships/hyperlink" Target="https://pacific.peopleadmin.com/postings/5822" TargetMode="External"/></Relationships>
</file>