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2-19-15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jc w:val="center"/>
      </w:pPr>
      <w:r w:rsidDel="00000000" w:rsidR="00000000" w:rsidRPr="00000000">
        <w:rPr>
          <w:rFonts w:ascii="Times New Roman" w:cs="Times New Roman" w:eastAsia="Times New Roman" w:hAnsi="Times New Roman"/>
          <w:b w:val="1"/>
          <w:color w:val="545556"/>
          <w:sz w:val="28"/>
          <w:szCs w:val="28"/>
          <w:highlight w:val="white"/>
          <w:rtl w:val="0"/>
        </w:rPr>
        <w:t xml:space="preserve">KELVIN SMITH LIBRARY, CASE WESTERN RESERVE UNIVERSITY</w:t>
      </w:r>
    </w:p>
    <w:p w:rsidR="00000000" w:rsidDel="00000000" w:rsidP="00000000" w:rsidRDefault="00000000" w:rsidRPr="00000000">
      <w:pPr>
        <w:spacing w:after="160" w:line="342.85714285714283" w:lineRule="auto"/>
        <w:contextualSpacing w:val="0"/>
        <w:jc w:val="center"/>
      </w:pPr>
      <w:r w:rsidDel="00000000" w:rsidR="00000000" w:rsidRPr="00000000">
        <w:rPr>
          <w:rFonts w:ascii="Times New Roman" w:cs="Times New Roman" w:eastAsia="Times New Roman" w:hAnsi="Times New Roman"/>
          <w:b w:val="1"/>
          <w:color w:val="545556"/>
          <w:sz w:val="24"/>
          <w:szCs w:val="24"/>
          <w:highlight w:val="white"/>
          <w:rtl w:val="0"/>
        </w:rPr>
        <w:t xml:space="preserve">DIGITAL LEARNING &amp; SCHOLARSHIP LIBRARIAN (DLSL)</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545556"/>
          <w:sz w:val="20"/>
          <w:szCs w:val="20"/>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545556"/>
          <w:sz w:val="20"/>
          <w:szCs w:val="20"/>
          <w:highlight w:val="white"/>
          <w:rtl w:val="0"/>
        </w:rPr>
        <w:t xml:space="preserve">DESCRIPTION.</w:t>
      </w:r>
      <w:r w:rsidDel="00000000" w:rsidR="00000000" w:rsidRPr="00000000">
        <w:rPr>
          <w:rFonts w:ascii="Times New Roman" w:cs="Times New Roman" w:eastAsia="Times New Roman" w:hAnsi="Times New Roman"/>
          <w:color w:val="545556"/>
          <w:sz w:val="20"/>
          <w:szCs w:val="20"/>
          <w:highlight w:val="white"/>
          <w:rtl w:val="0"/>
        </w:rPr>
        <w:t xml:space="preserve"> Case Western Reserve University seeks an energetic, creative and collaborative professional for the position of Digital Learning &amp; Scholarship Librarian (DLSL).  This position will be primarily responsible for all aspects of scholarly communication.  These include:</w:t>
      </w:r>
    </w:p>
    <w:p w:rsidR="00000000" w:rsidDel="00000000" w:rsidP="00000000" w:rsidRDefault="00000000" w:rsidRPr="00000000">
      <w:pPr>
        <w:spacing w:after="160" w:line="342.85714285714283" w:lineRule="auto"/>
        <w:contextualSpacing w:val="0"/>
      </w:pPr>
      <w:r w:rsidDel="00000000" w:rsidR="00000000" w:rsidRPr="00000000">
        <w:rPr>
          <w:rFonts w:ascii="Calibri" w:cs="Calibri" w:eastAsia="Calibri" w:hAnsi="Calibri"/>
          <w:color w:val="545556"/>
          <w:sz w:val="20"/>
          <w:szCs w:val="20"/>
          <w:highlight w:val="white"/>
          <w:rtl w:val="0"/>
        </w:rPr>
        <w:t xml:space="preserve">·</w:t>
      </w:r>
      <w:r w:rsidDel="00000000" w:rsidR="00000000" w:rsidRPr="00000000">
        <w:rPr>
          <w:rFonts w:ascii="Times New Roman" w:cs="Times New Roman" w:eastAsia="Times New Roman" w:hAnsi="Times New Roman"/>
          <w:color w:val="545556"/>
          <w:sz w:val="14"/>
          <w:szCs w:val="14"/>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Fedora / Hydra Repository</w:t>
      </w:r>
    </w:p>
    <w:p w:rsidR="00000000" w:rsidDel="00000000" w:rsidP="00000000" w:rsidRDefault="00000000" w:rsidRPr="00000000">
      <w:pPr>
        <w:spacing w:after="160" w:line="342.85714285714283" w:lineRule="auto"/>
        <w:contextualSpacing w:val="0"/>
      </w:pPr>
      <w:r w:rsidDel="00000000" w:rsidR="00000000" w:rsidRPr="00000000">
        <w:rPr>
          <w:rFonts w:ascii="Calibri" w:cs="Calibri" w:eastAsia="Calibri" w:hAnsi="Calibri"/>
          <w:color w:val="545556"/>
          <w:sz w:val="20"/>
          <w:szCs w:val="20"/>
          <w:highlight w:val="white"/>
          <w:rtl w:val="0"/>
        </w:rPr>
        <w:t xml:space="preserve">·</w:t>
      </w:r>
      <w:r w:rsidDel="00000000" w:rsidR="00000000" w:rsidRPr="00000000">
        <w:rPr>
          <w:rFonts w:ascii="Times New Roman" w:cs="Times New Roman" w:eastAsia="Times New Roman" w:hAnsi="Times New Roman"/>
          <w:color w:val="545556"/>
          <w:sz w:val="14"/>
          <w:szCs w:val="14"/>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Digitization</w:t>
      </w:r>
    </w:p>
    <w:p w:rsidR="00000000" w:rsidDel="00000000" w:rsidP="00000000" w:rsidRDefault="00000000" w:rsidRPr="00000000">
      <w:pPr>
        <w:spacing w:after="160" w:line="342.85714285714283" w:lineRule="auto"/>
        <w:contextualSpacing w:val="0"/>
      </w:pPr>
      <w:r w:rsidDel="00000000" w:rsidR="00000000" w:rsidRPr="00000000">
        <w:rPr>
          <w:rFonts w:ascii="Calibri" w:cs="Calibri" w:eastAsia="Calibri" w:hAnsi="Calibri"/>
          <w:color w:val="545556"/>
          <w:sz w:val="20"/>
          <w:szCs w:val="20"/>
          <w:highlight w:val="white"/>
          <w:rtl w:val="0"/>
        </w:rPr>
        <w:t xml:space="preserve">·</w:t>
      </w:r>
      <w:r w:rsidDel="00000000" w:rsidR="00000000" w:rsidRPr="00000000">
        <w:rPr>
          <w:rFonts w:ascii="Times New Roman" w:cs="Times New Roman" w:eastAsia="Times New Roman" w:hAnsi="Times New Roman"/>
          <w:color w:val="545556"/>
          <w:sz w:val="14"/>
          <w:szCs w:val="14"/>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Data Management</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0"/>
          <w:szCs w:val="20"/>
          <w:highlight w:val="white"/>
          <w:rtl w:val="0"/>
        </w:rPr>
        <w:t xml:space="preserve">The Digital Learning &amp; Scholarship Librarian (DLSL) position is a non-supervisory position that reports to the Digital Learning &amp; Scholarship Team Leader.  The candidate is expected to work at a high level of performance, working independently and with initiative. The Librarian is responsible for managing a balanced portfolio of three key activities in support of the programs of the Digital Learning &amp; Scholarship Librarian: (1) digital research and data management support, (2) relationship management, and (3) digital instruction.</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545556"/>
          <w:highlight w:val="white"/>
          <w:rtl w:val="0"/>
        </w:rPr>
        <w:t xml:space="preserve">RESPONSIBILITIES</w:t>
      </w:r>
      <w:r w:rsidDel="00000000" w:rsidR="00000000" w:rsidRPr="00000000">
        <w:rPr>
          <w:rFonts w:ascii="Times New Roman" w:cs="Times New Roman" w:eastAsia="Times New Roman" w:hAnsi="Times New Roman"/>
          <w:b w:val="1"/>
          <w:color w:val="545556"/>
          <w:sz w:val="20"/>
          <w:szCs w:val="20"/>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Monitor trends in digital library &amp; Institutional Repositories (IR) areas within academia, providing the executive leadership team with the necessary information to ensure Case is prepared for potential changes by continually investigating and providing KSL leadership with expertise about emerging trends, risks, opportunities, and resources and recommending possible courses of action.</w:t>
      </w:r>
      <w:r w:rsidDel="00000000" w:rsidR="00000000" w:rsidRPr="00000000">
        <w:rPr>
          <w:rFonts w:ascii="Times New Roman" w:cs="Times New Roman" w:eastAsia="Times New Roman" w:hAnsi="Times New Roman"/>
          <w:b w:val="1"/>
          <w:color w:val="545556"/>
          <w:sz w:val="20"/>
          <w:szCs w:val="20"/>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Identify and actively recruit content for IR. Manage the digitization workflow for projects destined for the IR, including the coordination of efforts by other teams involved in the process, including the establishing of standards and deadlines for an efficient workflow.</w:t>
      </w:r>
      <w:r w:rsidDel="00000000" w:rsidR="00000000" w:rsidRPr="00000000">
        <w:rPr>
          <w:rFonts w:ascii="Times New Roman" w:cs="Times New Roman" w:eastAsia="Times New Roman" w:hAnsi="Times New Roman"/>
          <w:b w:val="1"/>
          <w:color w:val="545556"/>
          <w:sz w:val="20"/>
          <w:szCs w:val="20"/>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Provide instruction on use of the IR and data management processes associated with IR use</w:t>
      </w:r>
      <w:r w:rsidDel="00000000" w:rsidR="00000000" w:rsidRPr="00000000">
        <w:rPr>
          <w:rFonts w:ascii="Times New Roman" w:cs="Times New Roman" w:eastAsia="Times New Roman" w:hAnsi="Times New Roman"/>
          <w:color w:val="545556"/>
          <w:highlight w:val="white"/>
          <w:rtl w:val="0"/>
        </w:rPr>
        <w:t xml:space="preserve">.</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545556"/>
          <w:sz w:val="20"/>
          <w:szCs w:val="20"/>
          <w:highlight w:val="white"/>
          <w:rtl w:val="0"/>
        </w:rPr>
        <w:t xml:space="preserve">QUALIFICATIONS.  </w:t>
      </w:r>
      <w:r w:rsidDel="00000000" w:rsidR="00000000" w:rsidRPr="00000000">
        <w:rPr>
          <w:rFonts w:ascii="Times New Roman" w:cs="Times New Roman" w:eastAsia="Times New Roman" w:hAnsi="Times New Roman"/>
          <w:i w:val="1"/>
          <w:color w:val="545556"/>
          <w:sz w:val="20"/>
          <w:szCs w:val="20"/>
          <w:highlight w:val="white"/>
          <w:rtl w:val="0"/>
        </w:rPr>
        <w:t xml:space="preserve">Required</w:t>
      </w:r>
      <w:r w:rsidDel="00000000" w:rsidR="00000000" w:rsidRPr="00000000">
        <w:rPr>
          <w:rFonts w:ascii="Times New Roman" w:cs="Times New Roman" w:eastAsia="Times New Roman" w:hAnsi="Times New Roman"/>
          <w:color w:val="545556"/>
          <w:sz w:val="20"/>
          <w:szCs w:val="20"/>
          <w:highlight w:val="white"/>
          <w:rtl w:val="0"/>
        </w:rPr>
        <w:t xml:space="preserve">: Master's degree in a relevant discipline; demonstrated competency within the field of Digital Scholarship and Institutional Repositories.</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color w:val="545556"/>
          <w:sz w:val="20"/>
          <w:szCs w:val="20"/>
          <w:highlight w:val="white"/>
          <w:rtl w:val="0"/>
        </w:rPr>
        <w:t xml:space="preserve"> </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545556"/>
          <w:sz w:val="20"/>
          <w:szCs w:val="20"/>
          <w:highlight w:val="white"/>
          <w:rtl w:val="0"/>
        </w:rPr>
        <w:t xml:space="preserve">ENVIRONMENT.  </w:t>
      </w:r>
      <w:r w:rsidDel="00000000" w:rsidR="00000000" w:rsidRPr="00000000">
        <w:rPr>
          <w:rFonts w:ascii="Times New Roman" w:cs="Times New Roman" w:eastAsia="Times New Roman" w:hAnsi="Times New Roman"/>
          <w:color w:val="545556"/>
          <w:sz w:val="20"/>
          <w:szCs w:val="20"/>
          <w:highlight w:val="white"/>
          <w:rtl w:val="0"/>
        </w:rPr>
        <w:t xml:space="preserve">The Kelvin Smith Library is a dynamic, technology-rich, and highly collaborative organization that is a member of the Association of Research Libraries (ARL), OhioLINK, and CNI.  Supported by an endowment, the Freedman Center for Digital Scholarship integrates e-research and digital scholarship services.  Founded in 1826, the University is an internationally recognized private research university serving 4,400 undergraduates and 5,650 graduate students with a full-time faculty of 3,055. Situated in Cleveland's vibrant University Circle cultural community, CWRU is an integral partner with world-class cultural organizations such as the Cleveland Museum of Art, the Western Reserve Historical Society, the Cleveland Botanical Garden, and the Cleveland Museum of Natural History.  KSL affiliate libraries include the Cleveland Institute of Art, the Cleveland Institute of Music, and the Rock and Roll Hall of Fame Library and Archives.</w:t>
      </w:r>
    </w:p>
    <w:p w:rsidR="00000000" w:rsidDel="00000000" w:rsidP="00000000" w:rsidRDefault="00000000" w:rsidRPr="00000000">
      <w:pPr>
        <w:spacing w:after="160" w:line="342.85714285714283" w:lineRule="auto"/>
        <w:contextualSpacing w:val="0"/>
      </w:pPr>
      <w:r w:rsidDel="00000000" w:rsidR="00000000" w:rsidRPr="00000000">
        <w:rPr>
          <w:rFonts w:ascii="Times New Roman" w:cs="Times New Roman" w:eastAsia="Times New Roman" w:hAnsi="Times New Roman"/>
          <w:b w:val="1"/>
          <w:color w:val="545556"/>
          <w:sz w:val="20"/>
          <w:szCs w:val="20"/>
          <w:highlight w:val="white"/>
          <w:rtl w:val="0"/>
        </w:rPr>
        <w:t xml:space="preserve">SALARY.</w:t>
      </w:r>
      <w:r w:rsidDel="00000000" w:rsidR="00000000" w:rsidRPr="00000000">
        <w:rPr>
          <w:rFonts w:ascii="Times New Roman" w:cs="Times New Roman" w:eastAsia="Times New Roman" w:hAnsi="Times New Roman"/>
          <w:b w:val="1"/>
          <w:color w:val="17365d"/>
          <w:sz w:val="20"/>
          <w:szCs w:val="20"/>
          <w:highlight w:val="white"/>
          <w:rtl w:val="0"/>
        </w:rPr>
        <w:t xml:space="preserve">  </w:t>
      </w:r>
      <w:r w:rsidDel="00000000" w:rsidR="00000000" w:rsidRPr="00000000">
        <w:rPr>
          <w:rFonts w:ascii="Times New Roman" w:cs="Times New Roman" w:eastAsia="Times New Roman" w:hAnsi="Times New Roman"/>
          <w:color w:val="545556"/>
          <w:sz w:val="20"/>
          <w:szCs w:val="20"/>
          <w:highlight w:val="white"/>
          <w:rtl w:val="0"/>
        </w:rPr>
        <w:t xml:space="preserve">Salary commensurate with qualifications and experience. </w:t>
      </w:r>
      <w:r w:rsidDel="00000000" w:rsidR="00000000" w:rsidRPr="00000000">
        <w:rPr>
          <w:rFonts w:ascii="Times New Roman" w:cs="Times New Roman" w:eastAsia="Times New Roman" w:hAnsi="Times New Roman"/>
          <w:b w:val="1"/>
          <w:color w:val="545556"/>
          <w:sz w:val="20"/>
          <w:szCs w:val="20"/>
          <w:highlight w:val="white"/>
          <w:rtl w:val="0"/>
        </w:rPr>
        <w:t xml:space="preserve">APPLICATION PROCESS</w:t>
      </w:r>
      <w:r w:rsidDel="00000000" w:rsidR="00000000" w:rsidRPr="00000000">
        <w:rPr>
          <w:rFonts w:ascii="Times New Roman" w:cs="Times New Roman" w:eastAsia="Times New Roman" w:hAnsi="Times New Roman"/>
          <w:color w:val="545556"/>
          <w:sz w:val="20"/>
          <w:szCs w:val="20"/>
          <w:highlight w:val="white"/>
          <w:rtl w:val="0"/>
        </w:rPr>
        <w:t xml:space="preserve">.  The full job description and application information are available at </w:t>
      </w:r>
      <w:hyperlink r:id="rId5">
        <w:r w:rsidDel="00000000" w:rsidR="00000000" w:rsidRPr="00000000">
          <w:rPr>
            <w:rFonts w:ascii="Times New Roman" w:cs="Times New Roman" w:eastAsia="Times New Roman" w:hAnsi="Times New Roman"/>
            <w:color w:val="800080"/>
            <w:sz w:val="20"/>
            <w:szCs w:val="20"/>
            <w:highlight w:val="white"/>
            <w:u w:val="single"/>
            <w:rtl w:val="0"/>
          </w:rPr>
          <w:t xml:space="preserve">http://bit.ly/1DcYnCV</w:t>
        </w:r>
      </w:hyperlink>
      <w:r w:rsidDel="00000000" w:rsidR="00000000" w:rsidRPr="00000000">
        <w:rPr>
          <w:rFonts w:ascii="Times New Roman" w:cs="Times New Roman" w:eastAsia="Times New Roman" w:hAnsi="Times New Roman"/>
          <w:color w:val="545556"/>
          <w:sz w:val="20"/>
          <w:szCs w:val="20"/>
          <w:highlight w:val="white"/>
          <w:rtl w:val="0"/>
        </w:rPr>
        <w:t xml:space="preserve"> Job ID 4041</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t.ly/1DcYnCV" TargetMode="External"/></Relationships>
</file>