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2-26-15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Digital Scholarship Services Manager in the Brown University Library oversees the projects and facilities managed by the Center for Digital Scholarship (CDS) for the Brown community. Working with colleagues from Digital Technologies and Research and Outreach Services, the Digital Scholarship Services Manager coordinates day-to-day Library work on faculty research projects, grant-funded digital publications initiatives, and research data services. The Digital Scholarship Services Manager supervises the Data Visualization Coordinator and Information Designer, works with Library colleagues to ensure that resources are appropriately allocated to digital scholarship projects, and plans for ongoing project maintenance and assessment. Additionally, the Digital Scholarship Services Manager is responsible for the administration, promotion, and ongoing support for several technology-enhanced spaces, and ensures that digital scholarship facilities effectively meet the needs of the Brown community.</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Position Requirements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Master degree or higher in the humanities or social sciences, or, degree in library or information science with a focus on digital scholarship or data curation.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Significant and progressively responsible experience engaging with and managing digital scholarly activities in the humanities, arts, and/or social sciences at an academic institution.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Experience in managing and supervising others.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Demonstrated understanding of the scholarly applications of digital tools (e.g. GIS, visualization tools), metadata standards (e.g. Dublin Core, MODS) and data encoding standards (e.g., TEI).</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Familiarity with common web publishing tools (e.g., Drupal, Omeka)</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Ability to work cooperatively and maintain effective working relationships with colleagues, faculty, staff and students.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Excellent analytical, oral, and written communication skills.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Experience with agile project management techniques for digital projects. </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To Apply</w:t>
      </w:r>
      <w:r w:rsidDel="00000000" w:rsidR="00000000" w:rsidRPr="00000000">
        <w:rPr>
          <w:color w:val="545556"/>
          <w:sz w:val="21"/>
          <w:szCs w:val="21"/>
          <w:highlight w:val="white"/>
          <w:rtl w:val="0"/>
        </w:rPr>
        <w:t xml:space="preserve">: Please visit Brown University's career opportunities website at: </w:t>
      </w:r>
      <w:hyperlink r:id="rId5">
        <w:r w:rsidDel="00000000" w:rsidR="00000000" w:rsidRPr="00000000">
          <w:rPr>
            <w:color w:val="2e6da4"/>
            <w:sz w:val="21"/>
            <w:szCs w:val="21"/>
            <w:highlight w:val="white"/>
            <w:u w:val="single"/>
            <w:rtl w:val="0"/>
          </w:rPr>
          <w:t xml:space="preserve">https://brown.wd5.myworkdayjobs.com/staff-careers-brown/jobs</w:t>
        </w:r>
      </w:hyperlink>
      <w:r w:rsidDel="00000000" w:rsidR="00000000" w:rsidRPr="00000000">
        <w:rPr>
          <w:color w:val="545556"/>
          <w:sz w:val="21"/>
          <w:szCs w:val="21"/>
          <w:highlight w:val="white"/>
          <w:rtl w:val="0"/>
        </w:rPr>
        <w:t xml:space="preserve"> </w:t>
      </w:r>
      <w:r w:rsidDel="00000000" w:rsidR="00000000" w:rsidRPr="00000000">
        <w:rPr>
          <w:b w:val="1"/>
          <w:color w:val="545556"/>
          <w:sz w:val="21"/>
          <w:szCs w:val="21"/>
          <w:highlight w:val="white"/>
          <w:rtl w:val="0"/>
        </w:rPr>
        <w:t xml:space="preserve">and reference REQ116498. </w:t>
      </w:r>
      <w:r w:rsidDel="00000000" w:rsidR="00000000" w:rsidRPr="00000000">
        <w:rPr>
          <w:color w:val="545556"/>
          <w:sz w:val="21"/>
          <w:szCs w:val="21"/>
          <w:highlight w:val="white"/>
          <w:rtl w:val="0"/>
        </w:rPr>
        <w:t xml:space="preserve">Complete an application online, attach documents, and submit for immediate consideration. Documents should include cover letter, resume, and the names and e-mail addresses of three references. Review of applications will continue until the position is filled.</w:t>
      </w:r>
      <w:r w:rsidDel="00000000" w:rsidR="00000000" w:rsidRPr="00000000">
        <w:rPr>
          <w:color w:val="545556"/>
          <w:sz w:val="18"/>
          <w:szCs w:val="18"/>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Brown University is committed to fostering a diverse and inclusive academic global community; as an EEO/AA employer, Brown considers applicants for employment without regard to, and does not discriminate on the basis of, gender, race, protected veteran status, disability, or any other legally protected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rown.wd5.myworkdayjobs.com/staff-careers-brown/jobs" TargetMode="External"/></Relationships>
</file>