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10-21-14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Fonts w:ascii="Lato" w:cs="Lato" w:eastAsia="Lato" w:hAnsi="Lato"/>
          <w:b w:val="1"/>
          <w:color w:val="333333"/>
          <w:sz w:val="21"/>
          <w:szCs w:val="21"/>
          <w:highlight w:val="white"/>
          <w:rtl w:val="0"/>
        </w:rPr>
        <w:t xml:space="preserve">Open date: </w:t>
      </w:r>
      <w:r w:rsidDel="00000000" w:rsidR="00000000" w:rsidRPr="00000000">
        <w:rPr>
          <w:rFonts w:ascii="Lato" w:cs="Lato" w:eastAsia="Lato" w:hAnsi="Lato"/>
          <w:color w:val="333333"/>
          <w:sz w:val="21"/>
          <w:szCs w:val="21"/>
          <w:highlight w:val="white"/>
          <w:rtl w:val="0"/>
        </w:rPr>
        <w:t xml:space="preserve">August 13th, 2014</w:t>
      </w:r>
    </w:p>
    <w:p w:rsidR="00000000" w:rsidDel="00000000" w:rsidP="00000000" w:rsidRDefault="00000000" w:rsidRPr="00000000">
      <w:pPr>
        <w:spacing w:before="160" w:line="342.85714285714283" w:lineRule="auto"/>
        <w:contextualSpacing w:val="0"/>
      </w:pPr>
      <w:r w:rsidDel="00000000" w:rsidR="00000000" w:rsidRPr="00000000">
        <w:rPr>
          <w:rFonts w:ascii="Lato" w:cs="Lato" w:eastAsia="Lato" w:hAnsi="Lato"/>
          <w:b w:val="1"/>
          <w:color w:val="333333"/>
          <w:sz w:val="21"/>
          <w:szCs w:val="21"/>
          <w:highlight w:val="white"/>
          <w:rtl w:val="0"/>
        </w:rPr>
        <w:t xml:space="preserve">Last review date: </w:t>
      </w:r>
      <w:r w:rsidDel="00000000" w:rsidR="00000000" w:rsidRPr="00000000">
        <w:rPr>
          <w:rFonts w:ascii="Lato" w:cs="Lato" w:eastAsia="Lato" w:hAnsi="Lato"/>
          <w:color w:val="333333"/>
          <w:sz w:val="21"/>
          <w:szCs w:val="21"/>
          <w:highlight w:val="white"/>
          <w:rtl w:val="0"/>
        </w:rPr>
        <w:t xml:space="preserve">November 6th,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swuoqod2b8ss" w:id="0"/>
      <w:bookmarkEnd w:id="0"/>
      <w:r w:rsidDel="00000000" w:rsidR="00000000" w:rsidRPr="00000000">
        <w:rPr>
          <w:rFonts w:ascii="Lato" w:cs="Lato" w:eastAsia="Lato" w:hAnsi="Lato"/>
          <w:b w:val="1"/>
          <w:color w:val="002244"/>
          <w:sz w:val="25"/>
          <w:szCs w:val="25"/>
          <w:highlight w:val="white"/>
          <w:rtl w:val="0"/>
        </w:rPr>
        <w:t xml:space="preserve">DESCRIPTION</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University of California, Irvine Libraries seeks a collaborative, creative, proactive, and user- oriented professional for the position E-Research and Digital Scholarship Services (ERDS) Librarian to develop the Libraries' role in the research and publication lifecycle of digital resources. Reporting to the Head of the Collection Development Department, the incumbent will serve as Head of the E-Research and Digital Scholarship Services Unit and will be a member of the Collection Development Department.</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E-Research and Digital Scholarship Services Unit is being formed within the Collection Development Department to capitalize on digital services offered locally and throughout the UC system to assist in the research, publication, and teaching missions of the University. The Unit will perform outreach, advertise, educate, and collaborate with faculty and researchers directly, and through the assistance and education of subject liaisons across all library departments.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Services include but are not limited to:</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Consultation for grant requirements related to data management, data sharing, and publication</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Consultation regarding UC's open access policy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Assistance in data curation</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Assistance with linked data</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Educating faculty, researchers, and librarians about impact metrics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Providing digital preservation and migration services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Providing and/or training researchers on metadata enhancement</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unit will be involved in project management, workflow development, and provision of ongoing digital services for the scholarly community of UC Irvine and the UCI Libraries.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Duties and Responsibilities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ERDS Librarian will manage all aspects of the Unit, from strategic planning to daily operations, effectively coordinating staff and technology resources, and working with subject specialists, IT professionals, and public relations staff. The ERDS Librarian will supervise a metadata librarian and a programmer analyst, and there is a likelihood that the unit will expand.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Serving as an advisor to library management, the ERDS Librarian will interact extensively with other campus units and library departments on issues related to digital research, outreach, and publishing. The ERDS Librarian will work with faculty, researchers, librarians, and archivists to promote and support digital publishing and open access, and will encourage experimentation and risk-taking in digital scholarship projects as part of professional growth and innovative services.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ERDS Librarian will act as a resource within the Libraries for digital services and projects, and will educate librarians and staff about available digital and data services. The ERDS Librarian will build awareness of and support for the management and preservation of digital publications and related materials including research data. </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ERDS Librarian will monitor data-related developments on campus and within the UC system, including the California Digital Library, and will explore ways that the Libraries can best leverage digital collections, local resources such as the UCI repository, UCIspace, and staff expertise to support faculty, researchers, and students in their own research and scholarly activities. The ERDS Librarian will explore and develop new services in the areas of e-research and digital scholarship. In addition, the ERDS Librarian will look for grant opportunities to develop services and expertise in the areas of digital services, data, and e-research.</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Qualifications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Required: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Graduate degree in library science from an ALA-accredited institution or an equivalent combination of relevant advanced degree and library experience.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Computer science, research data management, digital archives, or GIS background.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Experience planning and managing projects and project teams.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Experience working with faculty, researchers, librarians, and/or archivists.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Experience writing, managing, implementing, or contributing to grant proposals.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Commitment to user-centered library services.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Knowledge of emerging trends in digital scholarship, including scholarly publishing, open access, and data sharing.</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Experience working with repositories or data management programs. </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Excellent interpersonal, organizational, and communication skills.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Ability to think strategically and articulate the evolving role of academic libraries to a diverse audience.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Ability to work effectively both independently and in a team within a dynamically changing environment where consultation, flexibility and cooperation are essential.</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Ability to work creatively, collaboratively, and effectively and to promote teamwork, diversity, equality, and inclusiveness within UCI Libraries and the campus.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Ability to meet the University of California criteria for advancement and promotion.</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Knowledge of emerging trends in digital scholarship.</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Understanding of the mission of a research university and the mission and functions of a large research library.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Preferred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Experience managing a unit and supervising staff.</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Knowledge of current issues and trends in intellectual property, copyright, and fair use.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Familiarity with the mobile and web-based technologies used in social media and ability to learn new technologies quickly.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Evidence of continuing achievement in professional development, particularly at a national level, that will enhance the candidate’s value to the Libraries, the University, the profession, or the scholarly community.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Ability to articulate the value of digital library collections and digital repositories in a teaching and research environment.</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 Strong public speaking skills in an academic setting.</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Collection Development Department</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Collection Development Department is responsible for the library-wide development and management of general collections in the Langson Library, Ayala Science Library, and Grunigen Medical Library under the administration and coordination of the Assistant University Librarian for Research Resources. This department takes the lead role in developing and planning the overarching and ongoing collections policies, procedures, and projects that ensure that the scholarly resources available meet the campus teaching, research, and patient care needs. As an important part of these initiatives, the Department plans and implements the Libraries’ role in e-research and digital scholarship services. The Department consists of 8 librarians (including the department head) and 1 library assistant. The Department is committed to developing, delivering, and preserving the Libraries’ outstanding collection of significant and diverse research resources and is dedicated to building a research library of excellence. </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UCI Libraries</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UCI Libraries are committed to innovation and excellence and are in a major period of change. The Libraries consist of the Langson Library, the Ayala Science Library, the Library Gateway Study Center, and the Grunigen Medical Library. These buildings contain over 3,300 public seats for study and research and provide more than 600 public access computers. The UCI Libraries have a staff of approximately 140 FTE plus approximately 30 student assistant FTE. The library collection consists of over 3.4 million volumes and over 137,000 journals and serial titles and an aggressively expanding electronic resources collection. The UCI Libraries are a member of the: Association of Research Libraries (ARL), California Digital Library (CDL), HathiTrust Digital Library, Center for Research Libraries (CRL), Coalition of Networked Information (CNI), Digital Library Federation (DLF), Council on Library and Information Resources (CLIR), Scholarly Publishing &amp; Academic Resources Coalition (SPARC), Pacific Rim Digital Library Alliance (PRDLA), and International Federation of Library Associations and Institutions (IFLA).</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University of California, Irvine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University of California, Irvine is nestled in over 1,500 acres of coastal foothills, five miles from the Pacific Ocean, between San Diego and Los Angeles. Founded in 1965, UCI has a diverse student body consisting of more than 28,000 undergraduate and graduate students. Among the most dynamic campuses in the University of California system, UCI employs over 1,100 faculty and 9,400 staff. Consistently ranked among the nation’s best universities, UCI is noted for its top-rated research and graduate programs, extensive commitment to undergraduate education, and growing number of professional schools and programs of academic and social significance.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Librarians at the University of California Irvine are academic appointees and receive potential career status at the time of their initial appointment. Librarians periodically receive administrative and peer review for merit increases based on the following criteria: 1) professional competence and quality of service within the Library; 2) professional activity outside the Library; 3) university and public service; and 4) research and other creative activity.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Salary &amp; Benefits: Salary commensurate with qualifications and experience based on the University of California pay scales. Appointment is anticipated to be at the Associate Librarian or Librarian rank with a salary of $53,088 - $83,674 plus an annual administrative stipend.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Librarians are entitled to two days per month of annual leave, thirteen paid holidays, and one day per month sick leave. The University has an excellent retirement system and offers a variety of group health, life, and disability insurance plans. Benefits are equal to approximately 40% of salary.</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Deadline for Applications: Candidates applying by November 6, 2014 will be given first consideration, but the position will remain open until filled.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To Apply: Qualified applicants who wish to be considered for this position should submit the information requested (cover letter; résumé; and the names, e-mail addresses, and phone numbers of three references, with a statement of each reference's professional relationship to the applicant) via UC Recruit at:</w:t>
      </w:r>
      <w:hyperlink r:id="rId5">
        <w:r w:rsidDel="00000000" w:rsidR="00000000" w:rsidRPr="00000000">
          <w:rPr>
            <w:rFonts w:ascii="Lato" w:cs="Lato" w:eastAsia="Lato" w:hAnsi="Lato"/>
            <w:color w:val="1295d8"/>
            <w:sz w:val="21"/>
            <w:szCs w:val="21"/>
            <w:highlight w:val="white"/>
            <w:rtl w:val="0"/>
          </w:rPr>
          <w:t xml:space="preserve">https://recruit.ap.uci.edu/apply/JPF02552</w:t>
        </w:r>
      </w:hyperlink>
      <w:r w:rsidDel="00000000" w:rsidR="00000000" w:rsidRPr="00000000">
        <w:rPr>
          <w:rFonts w:ascii="Lato" w:cs="Lato" w:eastAsia="Lato" w:hAnsi="Lato"/>
          <w:color w:val="333333"/>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Upon application, candidates should be in possession of proof of their legal right to employment in the U.S. In compliance with the Immigration Reform and Control Act of 1986, verification of legal right to work will be required between the time of final selection and hiring, and is absolutely essential in ultimately being hired.</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This position description is listed on the UCI Libraries Web site at </w:t>
      </w:r>
      <w:hyperlink r:id="rId6">
        <w:r w:rsidDel="00000000" w:rsidR="00000000" w:rsidRPr="00000000">
          <w:rPr>
            <w:rFonts w:ascii="Lato" w:cs="Lato" w:eastAsia="Lato" w:hAnsi="Lato"/>
            <w:color w:val="1295d8"/>
            <w:sz w:val="21"/>
            <w:szCs w:val="21"/>
            <w:highlight w:val="white"/>
            <w:rtl w:val="0"/>
          </w:rPr>
          <w:t xml:space="preserve">http://www.lib.uci.edu/about/jobs/librarian-vacancies.html</w:t>
        </w:r>
      </w:hyperlink>
      <w:r w:rsidDel="00000000" w:rsidR="00000000" w:rsidRPr="00000000">
        <w:rPr>
          <w:rFonts w:ascii="Lato" w:cs="Lato" w:eastAsia="Lato" w:hAnsi="Lato"/>
          <w:color w:val="333333"/>
          <w:sz w:val="21"/>
          <w:szCs w:val="21"/>
          <w:highlight w:val="white"/>
          <w:rtl w:val="0"/>
        </w:rPr>
        <w:t xml:space="preserve"> with links to additional Web sites featuring campus and community information.</w:t>
      </w:r>
    </w:p>
    <w:p w:rsidR="00000000" w:rsidDel="00000000" w:rsidP="00000000" w:rsidRDefault="00000000" w:rsidRPr="00000000">
      <w:pPr>
        <w:spacing w:after="160" w:line="342.85714285714283" w:lineRule="auto"/>
        <w:contextualSpacing w:val="0"/>
      </w:pPr>
      <w:r w:rsidDel="00000000" w:rsidR="00000000" w:rsidRPr="00000000">
        <w:rPr>
          <w:rFonts w:ascii="Lato" w:cs="Lato" w:eastAsia="Lato" w:hAnsi="Lato"/>
          <w:color w:val="333333"/>
          <w:sz w:val="21"/>
          <w:szCs w:val="21"/>
          <w:highlight w:val="white"/>
          <w:rtl w:val="0"/>
        </w:rPr>
        <w:t xml:space="preserve">The University of California, Irvine is an Equal Opportunity/Affirmative Action Employer advancing inclusive excellence. All qualified applicants will receive consideration for employment without regard to race, color, religion, sex, national origin, disability, age, protected veteran status, or other protected categories covered by the UC nondiscrimination policy.</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6e41azqekjgb" w:id="1"/>
      <w:bookmarkEnd w:id="1"/>
      <w:r w:rsidDel="00000000" w:rsidR="00000000" w:rsidRPr="00000000">
        <w:rPr>
          <w:rFonts w:ascii="Lato" w:cs="Lato" w:eastAsia="Lato" w:hAnsi="Lato"/>
          <w:b w:val="1"/>
          <w:color w:val="002244"/>
          <w:sz w:val="25"/>
          <w:szCs w:val="25"/>
          <w:highlight w:val="white"/>
          <w:rtl w:val="0"/>
        </w:rPr>
        <w:t xml:space="preserve">LEARN MORE</w:t>
      </w:r>
    </w:p>
    <w:p w:rsidR="00000000" w:rsidDel="00000000" w:rsidP="00000000" w:rsidRDefault="00000000" w:rsidRPr="00000000">
      <w:pPr>
        <w:spacing w:line="342.85714285714283" w:lineRule="auto"/>
        <w:contextualSpacing w:val="0"/>
      </w:pPr>
      <w:r w:rsidDel="00000000" w:rsidR="00000000" w:rsidRPr="00000000">
        <w:rPr>
          <w:rFonts w:ascii="Lato" w:cs="Lato" w:eastAsia="Lato" w:hAnsi="Lato"/>
          <w:color w:val="333333"/>
          <w:sz w:val="21"/>
          <w:szCs w:val="21"/>
          <w:highlight w:val="white"/>
          <w:rtl w:val="0"/>
        </w:rPr>
        <w:t xml:space="preserve">More information about this recruitment: </w:t>
      </w:r>
      <w:hyperlink r:id="rId7">
        <w:r w:rsidDel="00000000" w:rsidR="00000000" w:rsidRPr="00000000">
          <w:rPr>
            <w:rFonts w:ascii="Lato" w:cs="Lato" w:eastAsia="Lato" w:hAnsi="Lato"/>
            <w:color w:val="1295d8"/>
            <w:sz w:val="21"/>
            <w:szCs w:val="21"/>
            <w:highlight w:val="white"/>
            <w:rtl w:val="0"/>
          </w:rPr>
          <w:t xml:space="preserve">http://www.lib.uci.edu/about/jobs/librarian-vacancies.html</w:t>
        </w:r>
      </w:hyperlink>
    </w:p>
    <w:p w:rsidR="00000000" w:rsidDel="00000000" w:rsidP="00000000" w:rsidRDefault="00000000" w:rsidRPr="00000000">
      <w:pPr>
        <w:pStyle w:val="Heading3"/>
        <w:keepNext w:val="0"/>
        <w:keepLines w:val="0"/>
        <w:spacing w:after="160" w:before="300" w:line="264" w:lineRule="auto"/>
        <w:contextualSpacing w:val="0"/>
      </w:pPr>
      <w:bookmarkStart w:colFirst="0" w:colLast="0" w:name="_arq0z29jmko" w:id="2"/>
      <w:bookmarkEnd w:id="2"/>
      <w:r w:rsidDel="00000000" w:rsidR="00000000" w:rsidRPr="00000000">
        <w:rPr>
          <w:rFonts w:ascii="Lato" w:cs="Lato" w:eastAsia="Lato" w:hAnsi="Lato"/>
          <w:b w:val="1"/>
          <w:color w:val="002244"/>
          <w:sz w:val="25"/>
          <w:szCs w:val="25"/>
          <w:highlight w:val="white"/>
          <w:rtl w:val="0"/>
        </w:rPr>
        <w:t xml:space="preserve">REQUIREMENTS</w:t>
      </w:r>
    </w:p>
    <w:p w:rsidR="00000000" w:rsidDel="00000000" w:rsidP="00000000" w:rsidRDefault="00000000" w:rsidRPr="00000000">
      <w:pPr>
        <w:pStyle w:val="Heading4"/>
        <w:keepNext w:val="0"/>
        <w:keepLines w:val="0"/>
        <w:spacing w:after="160" w:before="160" w:line="264" w:lineRule="auto"/>
        <w:contextualSpacing w:val="0"/>
      </w:pPr>
      <w:bookmarkStart w:colFirst="0" w:colLast="0" w:name="_fclbvyxem9fi" w:id="3"/>
      <w:bookmarkEnd w:id="3"/>
      <w:r w:rsidDel="00000000" w:rsidR="00000000" w:rsidRPr="00000000">
        <w:rPr>
          <w:rFonts w:ascii="Lato" w:cs="Lato" w:eastAsia="Lato" w:hAnsi="Lato"/>
          <w:b w:val="1"/>
          <w:sz w:val="21"/>
          <w:szCs w:val="21"/>
          <w:highlight w:val="white"/>
          <w:rtl w:val="0"/>
        </w:rPr>
        <w:t xml:space="preserve">DOCUMENTS</w:t>
      </w:r>
    </w:p>
    <w:p w:rsidR="00000000" w:rsidDel="00000000" w:rsidP="00000000" w:rsidRDefault="00000000" w:rsidRPr="00000000">
      <w:pPr>
        <w:numPr>
          <w:ilvl w:val="0"/>
          <w:numId w:val="1"/>
        </w:numPr>
        <w:spacing w:after="320" w:line="342.85714285714283" w:lineRule="auto"/>
        <w:ind w:left="720" w:hanging="360"/>
        <w:contextualSpacing w:val="1"/>
        <w:rPr/>
      </w:pPr>
      <w:r w:rsidDel="00000000" w:rsidR="00000000" w:rsidRPr="00000000">
        <w:rPr>
          <w:rFonts w:ascii="Lato" w:cs="Lato" w:eastAsia="Lato" w:hAnsi="Lato"/>
          <w:color w:val="333333"/>
          <w:sz w:val="21"/>
          <w:szCs w:val="21"/>
          <w:highlight w:val="white"/>
          <w:rtl w:val="0"/>
        </w:rPr>
        <w:t xml:space="preserve">Cover Letter - Please address your qualifications for this position</w:t>
      </w:r>
    </w:p>
    <w:p w:rsidR="00000000" w:rsidDel="00000000" w:rsidP="00000000" w:rsidRDefault="00000000" w:rsidRPr="00000000">
      <w:pPr>
        <w:numPr>
          <w:ilvl w:val="0"/>
          <w:numId w:val="1"/>
        </w:numPr>
        <w:spacing w:after="320" w:line="342.85714285714283" w:lineRule="auto"/>
        <w:ind w:left="720" w:hanging="360"/>
        <w:contextualSpacing w:val="1"/>
        <w:rPr/>
      </w:pPr>
      <w:r w:rsidDel="00000000" w:rsidR="00000000" w:rsidRPr="00000000">
        <w:rPr>
          <w:rFonts w:ascii="Lato" w:cs="Lato" w:eastAsia="Lato" w:hAnsi="Lato"/>
          <w:color w:val="333333"/>
          <w:sz w:val="21"/>
          <w:szCs w:val="21"/>
          <w:highlight w:val="white"/>
          <w:rtl w:val="0"/>
        </w:rPr>
        <w:t xml:space="preserve">Resume - Your most recently updated resume</w:t>
      </w:r>
    </w:p>
    <w:p w:rsidR="00000000" w:rsidDel="00000000" w:rsidP="00000000" w:rsidRDefault="00000000" w:rsidRPr="00000000">
      <w:pPr>
        <w:numPr>
          <w:ilvl w:val="0"/>
          <w:numId w:val="1"/>
        </w:numPr>
        <w:spacing w:after="320" w:line="342.85714285714283" w:lineRule="auto"/>
        <w:ind w:left="720" w:hanging="360"/>
        <w:contextualSpacing w:val="1"/>
        <w:rPr/>
      </w:pPr>
      <w:r w:rsidDel="00000000" w:rsidR="00000000" w:rsidRPr="00000000">
        <w:rPr>
          <w:rFonts w:ascii="Lato" w:cs="Lato" w:eastAsia="Lato" w:hAnsi="Lato"/>
          <w:color w:val="333333"/>
          <w:sz w:val="21"/>
          <w:szCs w:val="21"/>
          <w:highlight w:val="white"/>
          <w:rtl w:val="0"/>
        </w:rPr>
        <w:t xml:space="preserve">List of references - Please provide a list of 3 references with contact information and a statement of the reference's relationship to the applicant.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Lato" w:cs="Lato" w:eastAsia="Lato" w:hAnsi="Lato"/>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cruit.ap.uci.edu/apply/JPF02552" TargetMode="External"/><Relationship Id="rId6" Type="http://schemas.openxmlformats.org/officeDocument/2006/relationships/hyperlink" Target="http://www.lib.uci.edu/about/jobs/librarian-vacancies.html" TargetMode="External"/><Relationship Id="rId7" Type="http://schemas.openxmlformats.org/officeDocument/2006/relationships/hyperlink" Target="http://www.lib.uci.edu/about/jobs/librarian-vacanci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