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9-2-2015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Humanities Data Curator</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University of California, Santa Barbara is one of ten campuses that comprise the University of California system and is a member of the exclusive Association of American Universities (AAU). In addition, the University Library at UC Santa Barbara is a member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of the prestigious Association of Research Libraries (ARL).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RESPONSIBILITIES: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Reporting to the Head of Cataloging &amp; Metadata Services (CMS), the Humanities Data Curator has primary responsibility for the planning, implementation, and ongoing production of digital collections and scholarly initiatives in support of digital humanities scholarship and artistic production on campus to ensure their high functionality and discoverability through the flow and lifecycle of digital research data. As part of an evolving team of Data Curators, the candidate will be expected to make substantial contributions to his/her primary area of responsibility as well as to collaborate with other members of this team.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Humanities Data Curator is responsible for collecting, managing, curating, preserving, and providing access to digital humanities datasets and other digital collections in the Library. The candidate actively manages data produced by humanities scholars on campus, as well as data acquired by the Library, and ensures ongoing sustainable preservation and access through metadata creation and data discovery tools development. The candidate participates in the development, evaluation, education, and implementation of metadata policies, standards, goals, procedures, and workflows in cooperation with engaged campus stakeholders.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Humanities Data Curator will create and implement the Library’s support plan for digital humanities researchers and provide research data consultation to campus data creators. S/he will understand the ways in which humanities scholars conduct research in this new era of data sharing, including using new computational methods of analysis (for example, text-mining, topic modeling, social network analysis, or mapping and visualization).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In collaboration with humanities subject librarians and other data curators in the library, the Humanities Data Curator will provide leadership to define the library's strategy as it transforms research data services. S/he will engage relevant faculty and researchers and will collaboratively provide services that are scalable to each data set, promote the Library’s digital humanities research data services, and educate data users and producers of datasets on campus. The Humanities Data Curator will contribute to local, regional, and national digital humanities discussions and initiatives.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QUALIFICATIONS: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Required: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•ALA accredited MLS or equivalent experience in one or more fields relevant to library services in data curation.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•Significant relevant experience working with digital humanities projects.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•Demonstrated knowledge of issues and technical challenges related to data curation, including format migration, preservation, metadata, data access (including open access).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•Working Knowledge or advanced training with XML metadata.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•Knowledge of metadata standards, such as TEI and EAD, and data management practices in humanities.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•Familiarity with common content-management-system platforms used by humanities data creators such as WordPress and Omeka.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•An understanding of the humanities research process as demonstrated by academic or work experience.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•Ability to work independently and collaboratively, prioritizing work to ensure that departmental and library goals are realized.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•Excellent organizational skills, proven problem solving ability, and flexibility.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•Demonstrated initiative in fostering new ideas and in implementing change.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•Excellent oral, written, and interpersonal communication skills.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Preferred:</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•Advanced degree in humanities or related field.</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•Experience with digital preservation standards and best practices, and digital rights management.</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•Experience with scholarly repository platforms and relevant data manipulation tools.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•Prior experience in data visualization and/or data-mining.</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•Working knowledge in intellectual property issues (including Creative Commons licensing).</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•Working knowledge of Linked Data principles and scripting languages, such as Perl, PHP, and XSLT, and APIs.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SALARY AND BENEFITS: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Salary commensurate with experience and qualifications. Librarians at the University of California, Santa Barbara are professional academic appointees who accrue vacation at the rate of two days per month and sick leave at the rate of one day per month. The University has an excellent retirement system which is coordinated with Social Security. A selection of group health, dental, vision, and life insurance plans are offered by the University.</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incumbent will be a member of the LX Collective Bargaining Unit represented by the American Federation of Teachers.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TO APPLY:</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•This position will remain open until filled with primary consideration of applications received by October 16, 2015.</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•Applications will be accepted online through UC Recruit: </w:t>
      </w:r>
      <w:hyperlink r:id="rId5">
        <w:r w:rsidDel="00000000" w:rsidR="00000000" w:rsidRPr="00000000">
          <w:rPr>
            <w:color w:val="2e6da4"/>
            <w:sz w:val="21"/>
            <w:szCs w:val="21"/>
            <w:highlight w:val="white"/>
            <w:u w:val="single"/>
            <w:rtl w:val="0"/>
          </w:rPr>
          <w:t xml:space="preserve">https://recruit.ap.ucsb.edu/apply/JPF00529</w:t>
        </w:r>
      </w:hyperlink>
      <w:r w:rsidDel="00000000" w:rsidR="00000000" w:rsidRPr="00000000">
        <w:rPr>
          <w:color w:val="545556"/>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•Help for UC Recruit is available at </w:t>
      </w:r>
      <w:hyperlink r:id="rId6">
        <w:r w:rsidDel="00000000" w:rsidR="00000000" w:rsidRPr="00000000">
          <w:rPr>
            <w:color w:val="2e6da4"/>
            <w:sz w:val="21"/>
            <w:szCs w:val="21"/>
            <w:highlight w:val="white"/>
            <w:u w:val="single"/>
            <w:rtl w:val="0"/>
          </w:rPr>
          <w:t xml:space="preserve">https://recruit.ap.ucsb.edu/help/applicants</w:t>
        </w:r>
      </w:hyperlink>
      <w:r w:rsidDel="00000000" w:rsidR="00000000" w:rsidRPr="00000000">
        <w:rPr>
          <w:color w:val="545556"/>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•For additional assistance, contact Ryan George with Library Human Resources at (805) 893-3841 or </w:t>
      </w:r>
      <w:r w:rsidDel="00000000" w:rsidR="00000000" w:rsidRPr="00000000">
        <w:rPr>
          <w:color w:val="2e6da4"/>
          <w:sz w:val="21"/>
          <w:szCs w:val="21"/>
          <w:highlight w:val="white"/>
          <w:rtl w:val="0"/>
        </w:rPr>
        <w:t xml:space="preserve">rgeorge@library.ucsb.edu</w:t>
      </w:r>
      <w:r w:rsidDel="00000000" w:rsidR="00000000" w:rsidRPr="00000000">
        <w:rPr>
          <w:color w:val="545556"/>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•Appointment and/or continued employment is contingent on successful completion of a background check.</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Library is especially interested in candidates who can contribute to the diversity and excellence of the academic community through work, research, and service. The University of California is an Equal Opportunity/Affirmative Action Employer. All qualified applicants will receive consideration for employment without regard to race, color, religion, sex, national origin, or any other characteristic protected by law including protected Veterans and individuals with disabilities.</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cg8x6n4jc6xg" w:id="0"/>
      <w:bookmarkEnd w:id="0"/>
      <w:r w:rsidDel="00000000" w:rsidR="00000000" w:rsidRPr="00000000">
        <w:rPr>
          <w:b w:val="1"/>
          <w:color w:val="545556"/>
          <w:sz w:val="27"/>
          <w:szCs w:val="27"/>
          <w:highlight w:val="white"/>
          <w:rtl w:val="0"/>
        </w:rPr>
        <w:t xml:space="preserve">REQUIREMENTS</w:t>
      </w:r>
    </w:p>
    <w:p w:rsidR="00000000" w:rsidDel="00000000" w:rsidP="00000000" w:rsidRDefault="00000000" w:rsidRPr="00000000">
      <w:pPr>
        <w:pStyle w:val="Heading4"/>
        <w:keepNext w:val="0"/>
        <w:keepLines w:val="0"/>
        <w:spacing w:after="160" w:before="160" w:line="264" w:lineRule="auto"/>
        <w:contextualSpacing w:val="0"/>
      </w:pPr>
      <w:bookmarkStart w:colFirst="0" w:colLast="0" w:name="_vpldhxo05qo5" w:id="1"/>
      <w:bookmarkEnd w:id="1"/>
      <w:r w:rsidDel="00000000" w:rsidR="00000000" w:rsidRPr="00000000">
        <w:rPr>
          <w:b w:val="1"/>
          <w:color w:val="545556"/>
          <w:sz w:val="27"/>
          <w:szCs w:val="27"/>
          <w:highlight w:val="white"/>
          <w:rtl w:val="0"/>
        </w:rPr>
        <w:t xml:space="preserve">DOCUMENTS</w:t>
      </w:r>
    </w:p>
    <w:p w:rsidR="00000000" w:rsidDel="00000000" w:rsidP="00000000" w:rsidRDefault="00000000" w:rsidRPr="00000000">
      <w:pPr>
        <w:numPr>
          <w:ilvl w:val="0"/>
          <w:numId w:val="2"/>
        </w:numPr>
        <w:spacing w:after="320" w:line="342.85714285714283" w:lineRule="auto"/>
        <w:ind w:left="720" w:hanging="360"/>
        <w:contextualSpacing w:val="1"/>
        <w:rPr/>
      </w:pPr>
      <w:r w:rsidDel="00000000" w:rsidR="00000000" w:rsidRPr="00000000">
        <w:rPr>
          <w:color w:val="545556"/>
          <w:sz w:val="21"/>
          <w:szCs w:val="21"/>
          <w:highlight w:val="white"/>
          <w:rtl w:val="0"/>
        </w:rPr>
        <w:t xml:space="preserve">Cover Letter</w:t>
      </w:r>
    </w:p>
    <w:p w:rsidR="00000000" w:rsidDel="00000000" w:rsidP="00000000" w:rsidRDefault="00000000" w:rsidRPr="00000000">
      <w:pPr>
        <w:numPr>
          <w:ilvl w:val="0"/>
          <w:numId w:val="2"/>
        </w:numPr>
        <w:spacing w:after="320" w:line="342.85714285714283" w:lineRule="auto"/>
        <w:ind w:left="720" w:hanging="360"/>
        <w:contextualSpacing w:val="1"/>
        <w:rPr/>
      </w:pPr>
      <w:r w:rsidDel="00000000" w:rsidR="00000000" w:rsidRPr="00000000">
        <w:rPr>
          <w:color w:val="545556"/>
          <w:sz w:val="21"/>
          <w:szCs w:val="21"/>
          <w:highlight w:val="white"/>
          <w:rtl w:val="0"/>
        </w:rPr>
        <w:t xml:space="preserve">Curriculum Vitae - Your most recently updated C.V.</w:t>
      </w:r>
    </w:p>
    <w:p w:rsidR="00000000" w:rsidDel="00000000" w:rsidP="00000000" w:rsidRDefault="00000000" w:rsidRPr="00000000">
      <w:pPr>
        <w:numPr>
          <w:ilvl w:val="0"/>
          <w:numId w:val="2"/>
        </w:numPr>
        <w:spacing w:after="320" w:line="342.85714285714283" w:lineRule="auto"/>
        <w:ind w:left="720" w:hanging="360"/>
        <w:contextualSpacing w:val="1"/>
        <w:rPr/>
      </w:pPr>
      <w:r w:rsidDel="00000000" w:rsidR="00000000" w:rsidRPr="00000000">
        <w:rPr>
          <w:color w:val="545556"/>
          <w:sz w:val="21"/>
          <w:szCs w:val="21"/>
          <w:highlight w:val="white"/>
          <w:rtl w:val="0"/>
        </w:rPr>
        <w:t xml:space="preserve">Statement of Research (Optional)</w:t>
      </w:r>
    </w:p>
    <w:p w:rsidR="00000000" w:rsidDel="00000000" w:rsidP="00000000" w:rsidRDefault="00000000" w:rsidRPr="00000000">
      <w:pPr>
        <w:numPr>
          <w:ilvl w:val="0"/>
          <w:numId w:val="2"/>
        </w:numPr>
        <w:spacing w:after="320" w:line="342.85714285714283" w:lineRule="auto"/>
        <w:ind w:left="720" w:hanging="360"/>
        <w:contextualSpacing w:val="1"/>
        <w:rPr/>
      </w:pPr>
      <w:r w:rsidDel="00000000" w:rsidR="00000000" w:rsidRPr="00000000">
        <w:rPr>
          <w:color w:val="545556"/>
          <w:sz w:val="21"/>
          <w:szCs w:val="21"/>
          <w:highlight w:val="white"/>
          <w:rtl w:val="0"/>
        </w:rPr>
        <w:t xml:space="preserve">Statement of Teaching (Optional)</w:t>
      </w:r>
    </w:p>
    <w:p w:rsidR="00000000" w:rsidDel="00000000" w:rsidP="00000000" w:rsidRDefault="00000000" w:rsidRPr="00000000">
      <w:pPr>
        <w:numPr>
          <w:ilvl w:val="0"/>
          <w:numId w:val="2"/>
        </w:numPr>
        <w:spacing w:after="320" w:line="342.85714285714283" w:lineRule="auto"/>
        <w:ind w:left="720" w:hanging="360"/>
        <w:contextualSpacing w:val="1"/>
        <w:rPr/>
      </w:pPr>
      <w:r w:rsidDel="00000000" w:rsidR="00000000" w:rsidRPr="00000000">
        <w:rPr>
          <w:color w:val="545556"/>
          <w:sz w:val="21"/>
          <w:szCs w:val="21"/>
          <w:highlight w:val="white"/>
          <w:rtl w:val="0"/>
        </w:rPr>
        <w:t xml:space="preserve">Statement of Contributions to Diversity - Statement addressing past and/or potential contributions to diversity through research, teaching, and/or service. (Optional)</w:t>
      </w:r>
    </w:p>
    <w:p w:rsidR="00000000" w:rsidDel="00000000" w:rsidP="00000000" w:rsidRDefault="00000000" w:rsidRPr="00000000">
      <w:pPr>
        <w:numPr>
          <w:ilvl w:val="0"/>
          <w:numId w:val="2"/>
        </w:numPr>
        <w:spacing w:after="320" w:line="342.85714285714283" w:lineRule="auto"/>
        <w:ind w:left="720" w:hanging="360"/>
        <w:contextualSpacing w:val="1"/>
        <w:rPr/>
      </w:pPr>
      <w:r w:rsidDel="00000000" w:rsidR="00000000" w:rsidRPr="00000000">
        <w:rPr>
          <w:color w:val="545556"/>
          <w:sz w:val="21"/>
          <w:szCs w:val="21"/>
          <w:highlight w:val="white"/>
          <w:rtl w:val="0"/>
        </w:rPr>
        <w:t xml:space="preserve">Misc / Additional (Optional)</w:t>
      </w:r>
    </w:p>
    <w:p w:rsidR="00000000" w:rsidDel="00000000" w:rsidP="00000000" w:rsidRDefault="00000000" w:rsidRPr="00000000">
      <w:pPr>
        <w:pStyle w:val="Heading4"/>
        <w:keepNext w:val="0"/>
        <w:keepLines w:val="0"/>
        <w:spacing w:after="160" w:before="160" w:line="264" w:lineRule="auto"/>
        <w:contextualSpacing w:val="0"/>
      </w:pPr>
      <w:bookmarkStart w:colFirst="0" w:colLast="0" w:name="_ssxtnjfof4r1" w:id="2"/>
      <w:bookmarkEnd w:id="2"/>
      <w:r w:rsidDel="00000000" w:rsidR="00000000" w:rsidRPr="00000000">
        <w:rPr>
          <w:b w:val="1"/>
          <w:color w:val="545556"/>
          <w:sz w:val="27"/>
          <w:szCs w:val="27"/>
          <w:highlight w:val="white"/>
          <w:rtl w:val="0"/>
        </w:rPr>
        <w:t xml:space="preserve">REFERENCES</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2-3 references required (contact information only)</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ve0n09wqhk4p" w:id="3"/>
      <w:bookmarkEnd w:id="3"/>
      <w:r w:rsidDel="00000000" w:rsidR="00000000" w:rsidRPr="00000000">
        <w:rPr>
          <w:b w:val="1"/>
          <w:color w:val="545556"/>
          <w:sz w:val="27"/>
          <w:szCs w:val="27"/>
          <w:highlight w:val="white"/>
          <w:rtl w:val="0"/>
        </w:rPr>
        <w:t xml:space="preserve">HOW TO APPLY</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Create an ApplicantID</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Provide required information and documents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If any, provide required reference information</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545556"/>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cruit.ap.ucsb.edu/apply/JPF00529" TargetMode="External"/><Relationship Id="rId6" Type="http://schemas.openxmlformats.org/officeDocument/2006/relationships/hyperlink" Target="https://recruit.ap.ucsb.edu/help/applicants" TargetMode="External"/></Relationships>
</file>