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2hecuduuww4" w:id="0"/>
      <w:bookmarkEnd w:id="0"/>
      <w:r w:rsidDel="00000000" w:rsidR="00000000" w:rsidRPr="00000000">
        <w:rPr>
          <w:rtl w:val="0"/>
        </w:rPr>
        <w:t xml:space="preserve">Reference and Digital Humanities Librarian — Fordham University, Walsh Library — Bronx, 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Posted 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02/25/2016</w:t>
        </w:r>
      </w:hyperlink>
      <w:r w:rsidDel="00000000" w:rsidR="00000000" w:rsidRPr="00000000">
        <w:rPr>
          <w:rtl w:val="0"/>
        </w:rPr>
        <w:t xml:space="preserve">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Lisa Miller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Position: A03065, ADMINISTRATIVE POSITION ANNOUNCEMENT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OF POSITION/RANK: Reference and Digital Humanities Librarian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DEPARTMENT/PROGRAM: Walsh Library, Rose Hill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*RESPONSIBILITIES*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Under the direction of the Head of Reference and Information Services,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librarian provides critical support to the research and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community of Fordham 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Helps develop in the libraries the creation and curation of a dynamic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that addresses the growing demand for digital arts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humanities support across the three campuses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Collaborates with library staff and campus stakeholders to integrate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 resources, methodologies, technologies, and analytical tools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humanities disciplines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Works with faculty and librarians to incorporate digitized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born-digital resources into humanities research and teaching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Provides instruction, as needed on digital tools and methodologies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digital humanities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Coordinates information about digital arts and humanities scholarship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three campuses in order to connect scholars across the disciplines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facilitate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Provides in person, telephone, email, text, and chat research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Creates and delivers library instruction sessions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Participates in library-wide assessment programs and 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Assists in library collection development initiative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Assists in the creation and maintenance of web based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management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Provides outreach to academic departments and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Collaborates with individuals throughout the university to promote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facilitate the use of library resources and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Supervise the library support staff and student assistants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*QUALIFICATIONS*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Master?s degree from an ALA accredited library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Minimum of two years of professional experience in an academic 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Experience providing Reference and Instruction services in person, via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telephone, via text and chat services, and via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Current knowledge of digital trends and platforms for academic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Proficiency with statistical software applications, such as Excel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Broad familiarity with reference literature in a wide variety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disciplines including major print and electronic sources and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Familiar with the major metro New York library consortia and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collections; experience searching WorldCat as a referral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Experience creating and maintaining web based content management tools such as LibGuides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Comfortable developing content for web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Comfortable evaluating the usability and functionality of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Experience assisting all levels of researchers including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undergraduate, graduate, faculty, alumni, and freelancers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Familiar with online research repositories, digital collections,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access archival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*SALARY: *Commensurate with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*START DATE: *ASAP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*SEND LETTER &amp; RESUME TO:* Jane Suda, Head of Reference and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Services, jsuda@fordham.edu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phone calls, please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*Fordham University is committed to excellence through diversity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welcomes candidates of all backgrounds.*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*Fordham is an Equal Opportunity Employer.*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crlny.org/reference-and-digital-humanities-librarian-fordham-university-walsh-library-bronx-ny/" TargetMode="External"/><Relationship Id="rId6" Type="http://schemas.openxmlformats.org/officeDocument/2006/relationships/hyperlink" Target="http://acrlny.org/author/lisam/" TargetMode="External"/></Relationships>
</file>