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Digital Wallet &amp; Secure Payments Platform</w:t>
        <w:br/>
      </w:r>
      <w:r>
        <w:rPr>
          <w:b/>
          <w:sz w:val="28"/>
        </w:rPr>
        <w:t>Business Rules and Compliance Knowledge Base for RAG</w:t>
      </w:r>
    </w:p>
    <w:p>
      <w:pPr>
        <w:jc w:val="center"/>
      </w:pPr>
      <w:r>
        <w:rPr>
          <w:i/>
        </w:rPr>
        <w:t>Purpose: Generate Agile user stories, Gherkin acceptance criteria, non-functional requirements, and QA-oriented requirements from a realistic business/compliance knowledge base.</w:t>
        <w:br/>
      </w:r>
      <w:r>
        <w:t>Note: This is a synthetic training document, not legal advice or a substitute for current regulatory requirements.</w:t>
      </w:r>
    </w:p>
    <w:p>
      <w:pPr>
        <w:pStyle w:val="Heading1"/>
      </w:pPr>
      <w:r>
        <w:t>1. Use Case Overview</w:t>
      </w:r>
    </w:p>
    <w:p>
      <w:r>
        <w:t>A financial technology company is building a Digital Wallet and Secure Payments Platform. Customers can register, authenticate, add payment methods, send money to another wallet, make merchant payments, view transaction history, and receive notifications. Administrators manage users, roles, fraud controls, and audit records.</w:t>
      </w:r>
    </w:p>
    <w:p>
      <w:r>
        <w:t>Primary capabilities:</w:t>
      </w:r>
    </w:p>
    <w:p>
      <w:pPr>
        <w:pStyle w:val="ListBullet"/>
      </w:pPr>
      <w:r>
        <w:t>Customer registration and identity verification</w:t>
      </w:r>
    </w:p>
    <w:p>
      <w:pPr>
        <w:pStyle w:val="ListBullet"/>
      </w:pPr>
      <w:r>
        <w:t>Secure login, MFA, session management, and account recovery</w:t>
      </w:r>
    </w:p>
    <w:p>
      <w:pPr>
        <w:pStyle w:val="ListBullet"/>
      </w:pPr>
      <w:r>
        <w:t>Role-based access control (RBAC) for customers, support staff, and administrators</w:t>
      </w:r>
    </w:p>
    <w:p>
      <w:pPr>
        <w:pStyle w:val="ListBullet"/>
      </w:pPr>
      <w:r>
        <w:t>Adding and managing payment instruments</w:t>
      </w:r>
    </w:p>
    <w:p>
      <w:pPr>
        <w:pStyle w:val="ListBullet"/>
      </w:pPr>
      <w:r>
        <w:t>Peer-to-peer wallet transfers</w:t>
      </w:r>
    </w:p>
    <w:p>
      <w:pPr>
        <w:pStyle w:val="ListBullet"/>
      </w:pPr>
      <w:r>
        <w:t>Merchant payments</w:t>
      </w:r>
    </w:p>
    <w:p>
      <w:pPr>
        <w:pStyle w:val="ListBullet"/>
      </w:pPr>
      <w:r>
        <w:t>Transaction history, receipts, and notifications</w:t>
      </w:r>
    </w:p>
    <w:p>
      <w:pPr>
        <w:pStyle w:val="ListBullet"/>
      </w:pPr>
      <w:r>
        <w:t>Fraud/risk checks and transaction limits</w:t>
      </w:r>
    </w:p>
    <w:p>
      <w:pPr>
        <w:pStyle w:val="ListBullet"/>
      </w:pPr>
      <w:r>
        <w:t>Audit logging and security monitoring</w:t>
      </w:r>
    </w:p>
    <w:p>
      <w:pPr>
        <w:pStyle w:val="ListBullet"/>
      </w:pPr>
      <w:r>
        <w:t>Customer privacy and data-management controls</w:t>
      </w:r>
    </w:p>
    <w:p>
      <w:pPr>
        <w:pStyle w:val="Heading1"/>
      </w:pPr>
      <w:r>
        <w:t>2. Actors and Roles</w:t>
      </w:r>
    </w:p>
    <w:p>
      <w:pPr>
        <w:pStyle w:val="ListBullet"/>
      </w:pPr>
      <w:r>
        <w:t>Customer: owns a wallet, performs payments/transfers, and manages personal settings.</w:t>
      </w:r>
    </w:p>
    <w:p>
      <w:pPr>
        <w:pStyle w:val="ListBullet"/>
      </w:pPr>
      <w:r>
        <w:t>Merchant: accepts wallet payments and views authorized payment information.</w:t>
      </w:r>
    </w:p>
    <w:p>
      <w:pPr>
        <w:pStyle w:val="ListBullet"/>
      </w:pPr>
      <w:r>
        <w:t>Customer Support Agent: assists customers but must not perform privileged financial actions.</w:t>
      </w:r>
    </w:p>
    <w:p>
      <w:pPr>
        <w:pStyle w:val="ListBullet"/>
      </w:pPr>
      <w:r>
        <w:t>Administrator: manages users, roles, limits, configuration, and security controls.</w:t>
      </w:r>
    </w:p>
    <w:p>
      <w:pPr>
        <w:pStyle w:val="ListBullet"/>
      </w:pPr>
      <w:r>
        <w:t>Fraud/Risk Analyst: reviews suspicious activity and risk alerts.</w:t>
      </w:r>
    </w:p>
    <w:p>
      <w:pPr>
        <w:pStyle w:val="ListBullet"/>
      </w:pPr>
      <w:r>
        <w:t>System: performs authentication, authorization, risk checks, transaction processing, logging, and notifications.</w:t>
      </w:r>
    </w:p>
    <w:p>
      <w:pPr>
        <w:pStyle w:val="Heading1"/>
      </w:pPr>
      <w:r>
        <w:t>3. Business Rules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sz w:val="18"/>
              </w:rPr>
              <w:t>ID</w:t>
            </w:r>
          </w:p>
        </w:tc>
        <w:tc>
          <w:tcPr>
            <w:tcW w:type="dxa" w:w="3312"/>
          </w:tcPr>
          <w:p>
            <w:r>
              <w:rPr>
                <w:sz w:val="18"/>
              </w:rPr>
              <w:t>Rule</w:t>
            </w:r>
          </w:p>
        </w:tc>
        <w:tc>
          <w:tcPr>
            <w:tcW w:type="dxa" w:w="3312"/>
          </w:tcPr>
          <w:p>
            <w:r>
              <w:rPr>
                <w:sz w:val="18"/>
              </w:rPr>
              <w:t>Business Requirement</w:t>
            </w:r>
          </w:p>
        </w:tc>
      </w:tr>
      <w:tr>
        <w:tc>
          <w:tcPr>
            <w:tcW w:type="dxa" w:w="3312"/>
            <w:vAlign w:val="center"/>
          </w:tcPr>
          <w:p>
            <w:r>
              <w:rPr>
                <w:sz w:val="18"/>
              </w:rPr>
              <w:t>BR-001</w:t>
            </w:r>
          </w:p>
        </w:tc>
        <w:tc>
          <w:tcPr>
            <w:tcW w:type="dxa" w:w="3312"/>
            <w:vAlign w:val="center"/>
          </w:tcPr>
          <w:p>
            <w:r>
              <w:rPr>
                <w:sz w:val="18"/>
              </w:rPr>
              <w:t>Unique customer identity</w:t>
            </w:r>
          </w:p>
        </w:tc>
        <w:tc>
          <w:tcPr>
            <w:tcW w:type="dxa" w:w="3312"/>
            <w:vAlign w:val="center"/>
          </w:tcPr>
          <w:p>
            <w:r>
              <w:rPr>
                <w:sz w:val="18"/>
              </w:rPr>
              <w:t>A customer account must have a unique customer identifier. Duplicate active accounts using the same verified identity must be prevented or routed for manual review.</w:t>
            </w:r>
          </w:p>
        </w:tc>
      </w:tr>
      <w:tr>
        <w:tc>
          <w:tcPr>
            <w:tcW w:type="dxa" w:w="3312"/>
            <w:vAlign w:val="center"/>
          </w:tcPr>
          <w:p>
            <w:r>
              <w:rPr>
                <w:sz w:val="18"/>
              </w:rPr>
              <w:t>BR-002</w:t>
            </w:r>
          </w:p>
        </w:tc>
        <w:tc>
          <w:tcPr>
            <w:tcW w:type="dxa" w:w="3312"/>
            <w:vAlign w:val="center"/>
          </w:tcPr>
          <w:p>
            <w:r>
              <w:rPr>
                <w:sz w:val="18"/>
              </w:rPr>
              <w:t>Account verification</w:t>
            </w:r>
          </w:p>
        </w:tc>
        <w:tc>
          <w:tcPr>
            <w:tcW w:type="dxa" w:w="3312"/>
            <w:vAlign w:val="center"/>
          </w:tcPr>
          <w:p>
            <w:r>
              <w:rPr>
                <w:sz w:val="18"/>
              </w:rPr>
              <w:t>A customer must complete the required identity-verification process before accessing regulated payment functionality.</w:t>
            </w:r>
          </w:p>
        </w:tc>
      </w:tr>
      <w:tr>
        <w:tc>
          <w:tcPr>
            <w:tcW w:type="dxa" w:w="3312"/>
            <w:vAlign w:val="center"/>
          </w:tcPr>
          <w:p>
            <w:r>
              <w:rPr>
                <w:sz w:val="18"/>
              </w:rPr>
              <w:t>BR-003</w:t>
            </w:r>
          </w:p>
        </w:tc>
        <w:tc>
          <w:tcPr>
            <w:tcW w:type="dxa" w:w="3312"/>
            <w:vAlign w:val="center"/>
          </w:tcPr>
          <w:p>
            <w:r>
              <w:rPr>
                <w:sz w:val="18"/>
              </w:rPr>
              <w:t>MFA for sensitive actions</w:t>
            </w:r>
          </w:p>
        </w:tc>
        <w:tc>
          <w:tcPr>
            <w:tcW w:type="dxa" w:w="3312"/>
            <w:vAlign w:val="center"/>
          </w:tcPr>
          <w:p>
            <w:r>
              <w:rPr>
                <w:sz w:val="18"/>
              </w:rPr>
              <w:t>Multi-factor authentication is required for login under configured risk conditions and for sensitive actions such as changing security settings, adding a new payment method, or changing a transaction limit.</w:t>
            </w:r>
          </w:p>
        </w:tc>
      </w:tr>
      <w:tr>
        <w:tc>
          <w:tcPr>
            <w:tcW w:type="dxa" w:w="3312"/>
            <w:vAlign w:val="center"/>
          </w:tcPr>
          <w:p>
            <w:r>
              <w:rPr>
                <w:sz w:val="18"/>
              </w:rPr>
              <w:t>BR-004</w:t>
            </w:r>
          </w:p>
        </w:tc>
        <w:tc>
          <w:tcPr>
            <w:tcW w:type="dxa" w:w="3312"/>
            <w:vAlign w:val="center"/>
          </w:tcPr>
          <w:p>
            <w:r>
              <w:rPr>
                <w:sz w:val="18"/>
              </w:rPr>
              <w:t>RBAC</w:t>
            </w:r>
          </w:p>
        </w:tc>
        <w:tc>
          <w:tcPr>
            <w:tcW w:type="dxa" w:w="3312"/>
            <w:vAlign w:val="center"/>
          </w:tcPr>
          <w:p>
            <w:r>
              <w:rPr>
                <w:sz w:val="18"/>
              </w:rPr>
              <w:t>Access must be granted according to the user's assigned role. Customers, support agents, fraud analysts, merchants, and administrators must not receive permissions outside their authorized role.</w:t>
            </w:r>
          </w:p>
        </w:tc>
      </w:tr>
      <w:tr>
        <w:tc>
          <w:tcPr>
            <w:tcW w:type="dxa" w:w="3312"/>
            <w:vAlign w:val="center"/>
          </w:tcPr>
          <w:p>
            <w:r>
              <w:rPr>
                <w:sz w:val="18"/>
              </w:rPr>
              <w:t>BR-005</w:t>
            </w:r>
          </w:p>
        </w:tc>
        <w:tc>
          <w:tcPr>
            <w:tcW w:type="dxa" w:w="3312"/>
            <w:vAlign w:val="center"/>
          </w:tcPr>
          <w:p>
            <w:r>
              <w:rPr>
                <w:sz w:val="18"/>
              </w:rPr>
              <w:t>Least privilege</w:t>
            </w:r>
          </w:p>
        </w:tc>
        <w:tc>
          <w:tcPr>
            <w:tcW w:type="dxa" w:w="3312"/>
            <w:vAlign w:val="center"/>
          </w:tcPr>
          <w:p>
            <w:r>
              <w:rPr>
                <w:sz w:val="18"/>
              </w:rPr>
              <w:t>Support personnel may view permitted customer information but must not directly transfer customer funds, change ownership, or disable security controls unless a separately authorized workflow permits it.</w:t>
            </w:r>
          </w:p>
        </w:tc>
      </w:tr>
      <w:tr>
        <w:tc>
          <w:tcPr>
            <w:tcW w:type="dxa" w:w="3312"/>
            <w:vAlign w:val="center"/>
          </w:tcPr>
          <w:p>
            <w:r>
              <w:rPr>
                <w:sz w:val="18"/>
              </w:rPr>
              <w:t>BR-006</w:t>
            </w:r>
          </w:p>
        </w:tc>
        <w:tc>
          <w:tcPr>
            <w:tcW w:type="dxa" w:w="3312"/>
            <w:vAlign w:val="center"/>
          </w:tcPr>
          <w:p>
            <w:r>
              <w:rPr>
                <w:sz w:val="18"/>
              </w:rPr>
              <w:t>Transaction authorization</w:t>
            </w:r>
          </w:p>
        </w:tc>
        <w:tc>
          <w:tcPr>
            <w:tcW w:type="dxa" w:w="3312"/>
            <w:vAlign w:val="center"/>
          </w:tcPr>
          <w:p>
            <w:r>
              <w:rPr>
                <w:sz w:val="18"/>
              </w:rPr>
              <w:t>A payment or transfer must not be completed unless the customer is authenticated, authorized, the wallet is active, and all applicable risk and limit checks pass.</w:t>
            </w:r>
          </w:p>
        </w:tc>
      </w:tr>
      <w:tr>
        <w:tc>
          <w:tcPr>
            <w:tcW w:type="dxa" w:w="3312"/>
            <w:vAlign w:val="center"/>
          </w:tcPr>
          <w:p>
            <w:r>
              <w:rPr>
                <w:sz w:val="18"/>
              </w:rPr>
              <w:t>BR-007</w:t>
            </w:r>
          </w:p>
        </w:tc>
        <w:tc>
          <w:tcPr>
            <w:tcW w:type="dxa" w:w="3312"/>
            <w:vAlign w:val="center"/>
          </w:tcPr>
          <w:p>
            <w:r>
              <w:rPr>
                <w:sz w:val="18"/>
              </w:rPr>
              <w:t>Sufficient balance</w:t>
            </w:r>
          </w:p>
        </w:tc>
        <w:tc>
          <w:tcPr>
            <w:tcW w:type="dxa" w:w="3312"/>
            <w:vAlign w:val="center"/>
          </w:tcPr>
          <w:p>
            <w:r>
              <w:rPr>
                <w:sz w:val="18"/>
              </w:rPr>
              <w:t>A wallet transfer must fail when the available balance is insufficient, unless an explicitly supported overdraft/credit capability exists.</w:t>
            </w:r>
          </w:p>
        </w:tc>
      </w:tr>
      <w:tr>
        <w:tc>
          <w:tcPr>
            <w:tcW w:type="dxa" w:w="3312"/>
            <w:vAlign w:val="center"/>
          </w:tcPr>
          <w:p>
            <w:r>
              <w:rPr>
                <w:sz w:val="18"/>
              </w:rPr>
              <w:t>BR-008</w:t>
            </w:r>
          </w:p>
        </w:tc>
        <w:tc>
          <w:tcPr>
            <w:tcW w:type="dxa" w:w="3312"/>
            <w:vAlign w:val="center"/>
          </w:tcPr>
          <w:p>
            <w:r>
              <w:rPr>
                <w:sz w:val="18"/>
              </w:rPr>
              <w:t>Transaction limits</w:t>
            </w:r>
          </w:p>
        </w:tc>
        <w:tc>
          <w:tcPr>
            <w:tcW w:type="dxa" w:w="3312"/>
            <w:vAlign w:val="center"/>
          </w:tcPr>
          <w:p>
            <w:r>
              <w:rPr>
                <w:sz w:val="18"/>
              </w:rPr>
              <w:t>Transactions must be evaluated against configured per-transaction and cumulative daily/monthly limits. Transactions exceeding limits must be declined or routed to an approved review workflow.</w:t>
            </w:r>
          </w:p>
        </w:tc>
      </w:tr>
      <w:tr>
        <w:tc>
          <w:tcPr>
            <w:tcW w:type="dxa" w:w="3312"/>
            <w:vAlign w:val="center"/>
          </w:tcPr>
          <w:p>
            <w:r>
              <w:rPr>
                <w:sz w:val="18"/>
              </w:rPr>
              <w:t>BR-009</w:t>
            </w:r>
          </w:p>
        </w:tc>
        <w:tc>
          <w:tcPr>
            <w:tcW w:type="dxa" w:w="3312"/>
            <w:vAlign w:val="center"/>
          </w:tcPr>
          <w:p>
            <w:r>
              <w:rPr>
                <w:sz w:val="18"/>
              </w:rPr>
              <w:t>Idempotency</w:t>
            </w:r>
          </w:p>
        </w:tc>
        <w:tc>
          <w:tcPr>
            <w:tcW w:type="dxa" w:w="3312"/>
            <w:vAlign w:val="center"/>
          </w:tcPr>
          <w:p>
            <w:r>
              <w:rPr>
                <w:sz w:val="18"/>
              </w:rPr>
              <w:t>A retried payment request with the same valid idempotency key must not create a duplicate financial transaction.</w:t>
            </w:r>
          </w:p>
        </w:tc>
      </w:tr>
      <w:tr>
        <w:tc>
          <w:tcPr>
            <w:tcW w:type="dxa" w:w="3312"/>
            <w:vAlign w:val="center"/>
          </w:tcPr>
          <w:p>
            <w:r>
              <w:rPr>
                <w:sz w:val="18"/>
              </w:rPr>
              <w:t>BR-010</w:t>
            </w:r>
          </w:p>
        </w:tc>
        <w:tc>
          <w:tcPr>
            <w:tcW w:type="dxa" w:w="3312"/>
            <w:vAlign w:val="center"/>
          </w:tcPr>
          <w:p>
            <w:r>
              <w:rPr>
                <w:sz w:val="18"/>
              </w:rPr>
              <w:t>Atomic transaction state</w:t>
            </w:r>
          </w:p>
        </w:tc>
        <w:tc>
          <w:tcPr>
            <w:tcW w:type="dxa" w:w="3312"/>
            <w:vAlign w:val="center"/>
          </w:tcPr>
          <w:p>
            <w:r>
              <w:rPr>
                <w:sz w:val="18"/>
              </w:rPr>
              <w:t>A successful transfer must debit the sender and credit the recipient consistently. Partial completion must not be exposed as a successful transaction.</w:t>
            </w:r>
          </w:p>
        </w:tc>
      </w:tr>
      <w:tr>
        <w:tc>
          <w:tcPr>
            <w:tcW w:type="dxa" w:w="3312"/>
            <w:vAlign w:val="center"/>
          </w:tcPr>
          <w:p>
            <w:r>
              <w:rPr>
                <w:sz w:val="18"/>
              </w:rPr>
              <w:t>BR-011</w:t>
            </w:r>
          </w:p>
        </w:tc>
        <w:tc>
          <w:tcPr>
            <w:tcW w:type="dxa" w:w="3312"/>
            <w:vAlign w:val="center"/>
          </w:tcPr>
          <w:p>
            <w:r>
              <w:rPr>
                <w:sz w:val="18"/>
              </w:rPr>
              <w:t>Suspicious activity</w:t>
            </w:r>
          </w:p>
        </w:tc>
        <w:tc>
          <w:tcPr>
            <w:tcW w:type="dxa" w:w="3312"/>
            <w:vAlign w:val="center"/>
          </w:tcPr>
          <w:p>
            <w:r>
              <w:rPr>
                <w:sz w:val="18"/>
              </w:rPr>
              <w:t>Transactions that exceed configured risk thresholds or match suspicious patterns must be blocked, delayed, or routed for review according to the risk policy.</w:t>
            </w:r>
          </w:p>
        </w:tc>
      </w:tr>
      <w:tr>
        <w:tc>
          <w:tcPr>
            <w:tcW w:type="dxa" w:w="3312"/>
            <w:vAlign w:val="center"/>
          </w:tcPr>
          <w:p>
            <w:r>
              <w:rPr>
                <w:sz w:val="18"/>
              </w:rPr>
              <w:t>BR-012</w:t>
            </w:r>
          </w:p>
        </w:tc>
        <w:tc>
          <w:tcPr>
            <w:tcW w:type="dxa" w:w="3312"/>
            <w:vAlign w:val="center"/>
          </w:tcPr>
          <w:p>
            <w:r>
              <w:rPr>
                <w:sz w:val="18"/>
              </w:rPr>
              <w:t>Velocity control</w:t>
            </w:r>
          </w:p>
        </w:tc>
        <w:tc>
          <w:tcPr>
            <w:tcW w:type="dxa" w:w="3312"/>
            <w:vAlign w:val="center"/>
          </w:tcPr>
          <w:p>
            <w:r>
              <w:rPr>
                <w:sz w:val="18"/>
              </w:rPr>
              <w:t>Repeated transactions within a configured time window must be evaluated for velocity/rate anomalies.</w:t>
            </w:r>
          </w:p>
        </w:tc>
      </w:tr>
      <w:tr>
        <w:tc>
          <w:tcPr>
            <w:tcW w:type="dxa" w:w="3312"/>
            <w:vAlign w:val="center"/>
          </w:tcPr>
          <w:p>
            <w:r>
              <w:rPr>
                <w:sz w:val="18"/>
              </w:rPr>
              <w:t>BR-013</w:t>
            </w:r>
          </w:p>
        </w:tc>
        <w:tc>
          <w:tcPr>
            <w:tcW w:type="dxa" w:w="3312"/>
            <w:vAlign w:val="center"/>
          </w:tcPr>
          <w:p>
            <w:r>
              <w:rPr>
                <w:sz w:val="18"/>
              </w:rPr>
              <w:t>Payment method ownership</w:t>
            </w:r>
          </w:p>
        </w:tc>
        <w:tc>
          <w:tcPr>
            <w:tcW w:type="dxa" w:w="3312"/>
            <w:vAlign w:val="center"/>
          </w:tcPr>
          <w:p>
            <w:r>
              <w:rPr>
                <w:sz w:val="18"/>
              </w:rPr>
              <w:t>A payment instrument may be linked only after ownership/verification checks required by the payment method and risk policy are satisfied.</w:t>
            </w:r>
          </w:p>
        </w:tc>
      </w:tr>
      <w:tr>
        <w:tc>
          <w:tcPr>
            <w:tcW w:type="dxa" w:w="3312"/>
            <w:vAlign w:val="center"/>
          </w:tcPr>
          <w:p>
            <w:r>
              <w:rPr>
                <w:sz w:val="18"/>
              </w:rPr>
              <w:t>BR-014</w:t>
            </w:r>
          </w:p>
        </w:tc>
        <w:tc>
          <w:tcPr>
            <w:tcW w:type="dxa" w:w="3312"/>
            <w:vAlign w:val="center"/>
          </w:tcPr>
          <w:p>
            <w:r>
              <w:rPr>
                <w:sz w:val="18"/>
              </w:rPr>
              <w:t>Sensitive payment data</w:t>
            </w:r>
          </w:p>
        </w:tc>
        <w:tc>
          <w:tcPr>
            <w:tcW w:type="dxa" w:w="3312"/>
            <w:vAlign w:val="center"/>
          </w:tcPr>
          <w:p>
            <w:r>
              <w:rPr>
                <w:sz w:val="18"/>
              </w:rPr>
              <w:t>The application must not expose full sensitive payment credentials in normal UI, logs, notifications, or support screens. Masking/tokenization must be used where applicable.</w:t>
            </w:r>
          </w:p>
        </w:tc>
      </w:tr>
      <w:tr>
        <w:tc>
          <w:tcPr>
            <w:tcW w:type="dxa" w:w="3312"/>
            <w:vAlign w:val="center"/>
          </w:tcPr>
          <w:p>
            <w:r>
              <w:rPr>
                <w:sz w:val="18"/>
              </w:rPr>
              <w:t>BR-015</w:t>
            </w:r>
          </w:p>
        </w:tc>
        <w:tc>
          <w:tcPr>
            <w:tcW w:type="dxa" w:w="3312"/>
            <w:vAlign w:val="center"/>
          </w:tcPr>
          <w:p>
            <w:r>
              <w:rPr>
                <w:sz w:val="18"/>
              </w:rPr>
              <w:t>Transaction history</w:t>
            </w:r>
          </w:p>
        </w:tc>
        <w:tc>
          <w:tcPr>
            <w:tcW w:type="dxa" w:w="3312"/>
            <w:vAlign w:val="center"/>
          </w:tcPr>
          <w:p>
            <w:r>
              <w:rPr>
                <w:sz w:val="18"/>
              </w:rPr>
              <w:t>Customers must be able to view authorized transaction history, including status, amount, timestamp, and transaction reference.</w:t>
            </w:r>
          </w:p>
        </w:tc>
      </w:tr>
      <w:tr>
        <w:tc>
          <w:tcPr>
            <w:tcW w:type="dxa" w:w="3312"/>
            <w:vAlign w:val="center"/>
          </w:tcPr>
          <w:p>
            <w:r>
              <w:rPr>
                <w:sz w:val="18"/>
              </w:rPr>
              <w:t>BR-016</w:t>
            </w:r>
          </w:p>
        </w:tc>
        <w:tc>
          <w:tcPr>
            <w:tcW w:type="dxa" w:w="3312"/>
            <w:vAlign w:val="center"/>
          </w:tcPr>
          <w:p>
            <w:r>
              <w:rPr>
                <w:sz w:val="18"/>
              </w:rPr>
              <w:t>Transaction states</w:t>
            </w:r>
          </w:p>
        </w:tc>
        <w:tc>
          <w:tcPr>
            <w:tcW w:type="dxa" w:w="3312"/>
            <w:vAlign w:val="center"/>
          </w:tcPr>
          <w:p>
            <w:r>
              <w:rPr>
                <w:sz w:val="18"/>
              </w:rPr>
              <w:t>A transaction must have a controlled lifecycle such as initiated, authorized, processing, completed, failed, cancelled, or reversed. Invalid state transitions must be rejected.</w:t>
            </w:r>
          </w:p>
        </w:tc>
      </w:tr>
      <w:tr>
        <w:tc>
          <w:tcPr>
            <w:tcW w:type="dxa" w:w="3312"/>
            <w:vAlign w:val="center"/>
          </w:tcPr>
          <w:p>
            <w:r>
              <w:rPr>
                <w:sz w:val="18"/>
              </w:rPr>
              <w:t>BR-017</w:t>
            </w:r>
          </w:p>
        </w:tc>
        <w:tc>
          <w:tcPr>
            <w:tcW w:type="dxa" w:w="3312"/>
            <w:vAlign w:val="center"/>
          </w:tcPr>
          <w:p>
            <w:r>
              <w:rPr>
                <w:sz w:val="18"/>
              </w:rPr>
              <w:t>Refund/reversal</w:t>
            </w:r>
          </w:p>
        </w:tc>
        <w:tc>
          <w:tcPr>
            <w:tcW w:type="dxa" w:w="3312"/>
            <w:vAlign w:val="center"/>
          </w:tcPr>
          <w:p>
            <w:r>
              <w:rPr>
                <w:sz w:val="18"/>
              </w:rPr>
              <w:t>Refunds or reversals must reference the original transaction and must not exceed the refundable/reversible amount.</w:t>
            </w:r>
          </w:p>
        </w:tc>
      </w:tr>
      <w:tr>
        <w:tc>
          <w:tcPr>
            <w:tcW w:type="dxa" w:w="3312"/>
            <w:vAlign w:val="center"/>
          </w:tcPr>
          <w:p>
            <w:r>
              <w:rPr>
                <w:sz w:val="18"/>
              </w:rPr>
              <w:t>BR-018</w:t>
            </w:r>
          </w:p>
        </w:tc>
        <w:tc>
          <w:tcPr>
            <w:tcW w:type="dxa" w:w="3312"/>
            <w:vAlign w:val="center"/>
          </w:tcPr>
          <w:p>
            <w:r>
              <w:rPr>
                <w:sz w:val="18"/>
              </w:rPr>
              <w:t>Notifications</w:t>
            </w:r>
          </w:p>
        </w:tc>
        <w:tc>
          <w:tcPr>
            <w:tcW w:type="dxa" w:w="3312"/>
            <w:vAlign w:val="center"/>
          </w:tcPr>
          <w:p>
            <w:r>
              <w:rPr>
                <w:sz w:val="18"/>
              </w:rPr>
              <w:t>Customers must receive configured notifications for significant events such as successful payments, failed payments, security-setting changes, and suspicious activity.</w:t>
            </w:r>
          </w:p>
        </w:tc>
      </w:tr>
      <w:tr>
        <w:tc>
          <w:tcPr>
            <w:tcW w:type="dxa" w:w="3312"/>
            <w:vAlign w:val="center"/>
          </w:tcPr>
          <w:p>
            <w:r>
              <w:rPr>
                <w:sz w:val="18"/>
              </w:rPr>
              <w:t>BR-019</w:t>
            </w:r>
          </w:p>
        </w:tc>
        <w:tc>
          <w:tcPr>
            <w:tcW w:type="dxa" w:w="3312"/>
            <w:vAlign w:val="center"/>
          </w:tcPr>
          <w:p>
            <w:r>
              <w:rPr>
                <w:sz w:val="18"/>
              </w:rPr>
              <w:t>Account lockout/risk protection</w:t>
            </w:r>
          </w:p>
        </w:tc>
        <w:tc>
          <w:tcPr>
            <w:tcW w:type="dxa" w:w="3312"/>
            <w:vAlign w:val="center"/>
          </w:tcPr>
          <w:p>
            <w:r>
              <w:rPr>
                <w:sz w:val="18"/>
              </w:rPr>
              <w:t>Repeated failed authentication attempts must trigger configured throttling, temporary lockout, step-up verification, or equivalent protection.</w:t>
            </w:r>
          </w:p>
        </w:tc>
      </w:tr>
      <w:tr>
        <w:tc>
          <w:tcPr>
            <w:tcW w:type="dxa" w:w="3312"/>
            <w:vAlign w:val="center"/>
          </w:tcPr>
          <w:p>
            <w:r>
              <w:rPr>
                <w:sz w:val="18"/>
              </w:rPr>
              <w:t>BR-020</w:t>
            </w:r>
          </w:p>
        </w:tc>
        <w:tc>
          <w:tcPr>
            <w:tcW w:type="dxa" w:w="3312"/>
            <w:vAlign w:val="center"/>
          </w:tcPr>
          <w:p>
            <w:r>
              <w:rPr>
                <w:sz w:val="18"/>
              </w:rPr>
              <w:t>Auditability</w:t>
            </w:r>
          </w:p>
        </w:tc>
        <w:tc>
          <w:tcPr>
            <w:tcW w:type="dxa" w:w="3312"/>
            <w:vAlign w:val="center"/>
          </w:tcPr>
          <w:p>
            <w:r>
              <w:rPr>
                <w:sz w:val="18"/>
              </w:rPr>
              <w:t>Security-sensitive and financial actions must create an audit record containing sufficient metadata to support investigation and traceability.</w:t>
            </w:r>
          </w:p>
        </w:tc>
      </w:tr>
      <w:tr>
        <w:tc>
          <w:tcPr>
            <w:tcW w:type="dxa" w:w="3312"/>
            <w:vAlign w:val="center"/>
          </w:tcPr>
          <w:p>
            <w:r>
              <w:rPr>
                <w:sz w:val="18"/>
              </w:rPr>
              <w:t>BR-021</w:t>
            </w:r>
          </w:p>
        </w:tc>
        <w:tc>
          <w:tcPr>
            <w:tcW w:type="dxa" w:w="3312"/>
            <w:vAlign w:val="center"/>
          </w:tcPr>
          <w:p>
            <w:r>
              <w:rPr>
                <w:sz w:val="18"/>
              </w:rPr>
              <w:t>Administrative approvals</w:t>
            </w:r>
          </w:p>
        </w:tc>
        <w:tc>
          <w:tcPr>
            <w:tcW w:type="dxa" w:w="3312"/>
            <w:vAlign w:val="center"/>
          </w:tcPr>
          <w:p>
            <w:r>
              <w:rPr>
                <w:sz w:val="18"/>
              </w:rPr>
              <w:t>High-risk administrative changes, such as modifying transaction limits or privileged roles, must require an approved authorization workflow where configured.</w:t>
            </w:r>
          </w:p>
        </w:tc>
      </w:tr>
      <w:tr>
        <w:tc>
          <w:tcPr>
            <w:tcW w:type="dxa" w:w="3312"/>
            <w:vAlign w:val="center"/>
          </w:tcPr>
          <w:p>
            <w:r>
              <w:rPr>
                <w:sz w:val="18"/>
              </w:rPr>
              <w:t>BR-022</w:t>
            </w:r>
          </w:p>
        </w:tc>
        <w:tc>
          <w:tcPr>
            <w:tcW w:type="dxa" w:w="3312"/>
            <w:vAlign w:val="center"/>
          </w:tcPr>
          <w:p>
            <w:r>
              <w:rPr>
                <w:sz w:val="18"/>
              </w:rPr>
              <w:t>Separation of duties</w:t>
            </w:r>
          </w:p>
        </w:tc>
        <w:tc>
          <w:tcPr>
            <w:tcW w:type="dxa" w:w="3312"/>
            <w:vAlign w:val="center"/>
          </w:tcPr>
          <w:p>
            <w:r>
              <w:rPr>
                <w:sz w:val="18"/>
              </w:rPr>
              <w:t>A user must not be able to approve their own high-risk administrative action when the workflow requires independent approval.</w:t>
            </w:r>
          </w:p>
        </w:tc>
      </w:tr>
      <w:tr>
        <w:tc>
          <w:tcPr>
            <w:tcW w:type="dxa" w:w="3312"/>
            <w:vAlign w:val="center"/>
          </w:tcPr>
          <w:p>
            <w:r>
              <w:rPr>
                <w:sz w:val="18"/>
              </w:rPr>
              <w:t>BR-023</w:t>
            </w:r>
          </w:p>
        </w:tc>
        <w:tc>
          <w:tcPr>
            <w:tcW w:type="dxa" w:w="3312"/>
            <w:vAlign w:val="center"/>
          </w:tcPr>
          <w:p>
            <w:r>
              <w:rPr>
                <w:sz w:val="18"/>
              </w:rPr>
              <w:t>Customer data correction</w:t>
            </w:r>
          </w:p>
        </w:tc>
        <w:tc>
          <w:tcPr>
            <w:tcW w:type="dxa" w:w="3312"/>
            <w:vAlign w:val="center"/>
          </w:tcPr>
          <w:p>
            <w:r>
              <w:rPr>
                <w:sz w:val="18"/>
              </w:rPr>
              <w:t>Customers must have an appropriate process to request correction of inaccurate personal information, subject to legal and operational constraints.</w:t>
            </w:r>
          </w:p>
        </w:tc>
      </w:tr>
      <w:tr>
        <w:tc>
          <w:tcPr>
            <w:tcW w:type="dxa" w:w="3312"/>
            <w:vAlign w:val="center"/>
          </w:tcPr>
          <w:p>
            <w:r>
              <w:rPr>
                <w:sz w:val="18"/>
              </w:rPr>
              <w:t>BR-024</w:t>
            </w:r>
          </w:p>
        </w:tc>
        <w:tc>
          <w:tcPr>
            <w:tcW w:type="dxa" w:w="3312"/>
            <w:vAlign w:val="center"/>
          </w:tcPr>
          <w:p>
            <w:r>
              <w:rPr>
                <w:sz w:val="18"/>
              </w:rPr>
              <w:t>Account closure</w:t>
            </w:r>
          </w:p>
        </w:tc>
        <w:tc>
          <w:tcPr>
            <w:tcW w:type="dxa" w:w="3312"/>
            <w:vAlign w:val="center"/>
          </w:tcPr>
          <w:p>
            <w:r>
              <w:rPr>
                <w:sz w:val="18"/>
              </w:rPr>
              <w:t>Account closure must follow a controlled workflow. Financial records that must be retained for legal, regulatory, fraud, or accounting purposes must not be deleted merely because the account is closed.</w:t>
            </w:r>
          </w:p>
        </w:tc>
      </w:tr>
      <w:tr>
        <w:tc>
          <w:tcPr>
            <w:tcW w:type="dxa" w:w="3312"/>
            <w:vAlign w:val="center"/>
          </w:tcPr>
          <w:p>
            <w:r>
              <w:rPr>
                <w:sz w:val="18"/>
              </w:rPr>
              <w:t>BR-025</w:t>
            </w:r>
          </w:p>
        </w:tc>
        <w:tc>
          <w:tcPr>
            <w:tcW w:type="dxa" w:w="3312"/>
            <w:vAlign w:val="center"/>
          </w:tcPr>
          <w:p>
            <w:r>
              <w:rPr>
                <w:sz w:val="18"/>
              </w:rPr>
              <w:t>Service availability</w:t>
            </w:r>
          </w:p>
        </w:tc>
        <w:tc>
          <w:tcPr>
            <w:tcW w:type="dxa" w:w="3312"/>
            <w:vAlign w:val="center"/>
          </w:tcPr>
          <w:p>
            <w:r>
              <w:rPr>
                <w:sz w:val="18"/>
              </w:rPr>
              <w:t>Temporary downstream failures must result in a controlled transaction state and must not cause duplicate charging or inconsistent wallet balances.</w:t>
            </w:r>
          </w:p>
        </w:tc>
      </w:tr>
    </w:tbl>
    <w:p>
      <w:pPr>
        <w:pStyle w:val="Heading1"/>
      </w:pPr>
      <w:r>
        <w:t>4. Compliance and Regulatory Controls</w:t>
      </w:r>
    </w:p>
    <w:p>
      <w:r>
        <w:t>The following controls are included to provide realistic RAG context. They are intentionally phrased as product requirements rather than legal conclusions. Applicability depends on jurisdiction, payment model, data flows, and the organization's regulatory obligations.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sz w:val="18"/>
              </w:rPr>
              <w:t>ID</w:t>
            </w:r>
          </w:p>
        </w:tc>
        <w:tc>
          <w:tcPr>
            <w:tcW w:type="dxa" w:w="3312"/>
          </w:tcPr>
          <w:p>
            <w:r>
              <w:rPr>
                <w:sz w:val="18"/>
              </w:rPr>
              <w:t>Framework / Control</w:t>
            </w:r>
          </w:p>
        </w:tc>
        <w:tc>
          <w:tcPr>
            <w:tcW w:type="dxa" w:w="3312"/>
          </w:tcPr>
          <w:p>
            <w:r>
              <w:rPr>
                <w:sz w:val="18"/>
              </w:rPr>
              <w:t>Requirement</w:t>
            </w:r>
          </w:p>
        </w:tc>
      </w:tr>
      <w:tr>
        <w:tc>
          <w:tcPr>
            <w:tcW w:type="dxa" w:w="3312"/>
          </w:tcPr>
          <w:p>
            <w:r>
              <w:rPr>
                <w:sz w:val="18"/>
              </w:rPr>
              <w:t>COMP-001</w:t>
            </w:r>
          </w:p>
        </w:tc>
        <w:tc>
          <w:tcPr>
            <w:tcW w:type="dxa" w:w="3312"/>
          </w:tcPr>
          <w:p>
            <w:r>
              <w:rPr>
                <w:sz w:val="18"/>
              </w:rPr>
              <w:t>PCI DSS</w:t>
            </w:r>
          </w:p>
        </w:tc>
        <w:tc>
          <w:tcPr>
            <w:tcW w:type="dxa" w:w="3312"/>
          </w:tcPr>
          <w:p>
            <w:r>
              <w:rPr>
                <w:sz w:val="18"/>
              </w:rPr>
              <w:t>Where the platform stores, processes, or transmits payment-card data and PCI DSS applies, protect cardholder data, restrict access, maintain appropriate security controls, and avoid storing prohibited sensitive authentication data after authorization. Prefer tokenization/payment-provider vaulting so the application does not unnecessarily handle raw card data.</w:t>
            </w:r>
          </w:p>
        </w:tc>
      </w:tr>
      <w:tr>
        <w:tc>
          <w:tcPr>
            <w:tcW w:type="dxa" w:w="3312"/>
          </w:tcPr>
          <w:p>
            <w:r>
              <w:rPr>
                <w:sz w:val="18"/>
              </w:rPr>
              <w:t>COMP-002</w:t>
            </w:r>
          </w:p>
        </w:tc>
        <w:tc>
          <w:tcPr>
            <w:tcW w:type="dxa" w:w="3312"/>
          </w:tcPr>
          <w:p>
            <w:r>
              <w:rPr>
                <w:sz w:val="18"/>
              </w:rPr>
              <w:t>PCI DSS - access control</w:t>
            </w:r>
          </w:p>
        </w:tc>
        <w:tc>
          <w:tcPr>
            <w:tcW w:type="dxa" w:w="3312"/>
          </w:tcPr>
          <w:p>
            <w:r>
              <w:rPr>
                <w:sz w:val="18"/>
              </w:rPr>
              <w:t>Access to payment-related systems and data must follow least privilege and need-to-know principles. Privileged access must be controlled and auditable.</w:t>
            </w:r>
          </w:p>
        </w:tc>
      </w:tr>
      <w:tr>
        <w:tc>
          <w:tcPr>
            <w:tcW w:type="dxa" w:w="3312"/>
          </w:tcPr>
          <w:p>
            <w:r>
              <w:rPr>
                <w:sz w:val="18"/>
              </w:rPr>
              <w:t>COMP-003</w:t>
            </w:r>
          </w:p>
        </w:tc>
        <w:tc>
          <w:tcPr>
            <w:tcW w:type="dxa" w:w="3312"/>
          </w:tcPr>
          <w:p>
            <w:r>
              <w:rPr>
                <w:sz w:val="18"/>
              </w:rPr>
              <w:t>PCI DSS - logging</w:t>
            </w:r>
          </w:p>
        </w:tc>
        <w:tc>
          <w:tcPr>
            <w:tcW w:type="dxa" w:w="3312"/>
          </w:tcPr>
          <w:p>
            <w:r>
              <w:rPr>
                <w:sz w:val="18"/>
              </w:rPr>
              <w:t>Security-relevant events affecting payment environments must be logged and monitored according to the applicable PCI DSS requirements and organizational retention policy.</w:t>
            </w:r>
          </w:p>
        </w:tc>
      </w:tr>
      <w:tr>
        <w:tc>
          <w:tcPr>
            <w:tcW w:type="dxa" w:w="3312"/>
          </w:tcPr>
          <w:p>
            <w:r>
              <w:rPr>
                <w:sz w:val="18"/>
              </w:rPr>
              <w:t>COMP-004</w:t>
            </w:r>
          </w:p>
        </w:tc>
        <w:tc>
          <w:tcPr>
            <w:tcW w:type="dxa" w:w="3312"/>
          </w:tcPr>
          <w:p>
            <w:r>
              <w:rPr>
                <w:sz w:val="18"/>
              </w:rPr>
              <w:t>GDPR - data minimization</w:t>
            </w:r>
          </w:p>
        </w:tc>
        <w:tc>
          <w:tcPr>
            <w:tcW w:type="dxa" w:w="3312"/>
          </w:tcPr>
          <w:p>
            <w:r>
              <w:rPr>
                <w:sz w:val="18"/>
              </w:rPr>
              <w:t>For users and processing activities within GDPR scope, collect and process only personal data necessary for defined purposes.</w:t>
            </w:r>
          </w:p>
        </w:tc>
      </w:tr>
      <w:tr>
        <w:tc>
          <w:tcPr>
            <w:tcW w:type="dxa" w:w="3312"/>
          </w:tcPr>
          <w:p>
            <w:r>
              <w:rPr>
                <w:sz w:val="18"/>
              </w:rPr>
              <w:t>COMP-005</w:t>
            </w:r>
          </w:p>
        </w:tc>
        <w:tc>
          <w:tcPr>
            <w:tcW w:type="dxa" w:w="3312"/>
          </w:tcPr>
          <w:p>
            <w:r>
              <w:rPr>
                <w:sz w:val="18"/>
              </w:rPr>
              <w:t>GDPR - purpose limitation</w:t>
            </w:r>
          </w:p>
        </w:tc>
        <w:tc>
          <w:tcPr>
            <w:tcW w:type="dxa" w:w="3312"/>
          </w:tcPr>
          <w:p>
            <w:r>
              <w:rPr>
                <w:sz w:val="18"/>
              </w:rPr>
              <w:t>Personal data must be processed for specified, explicit, and legitimate purposes and not reused in incompatible ways.</w:t>
            </w:r>
          </w:p>
        </w:tc>
      </w:tr>
      <w:tr>
        <w:tc>
          <w:tcPr>
            <w:tcW w:type="dxa" w:w="3312"/>
          </w:tcPr>
          <w:p>
            <w:r>
              <w:rPr>
                <w:sz w:val="18"/>
              </w:rPr>
              <w:t>COMP-006</w:t>
            </w:r>
          </w:p>
        </w:tc>
        <w:tc>
          <w:tcPr>
            <w:tcW w:type="dxa" w:w="3312"/>
          </w:tcPr>
          <w:p>
            <w:r>
              <w:rPr>
                <w:sz w:val="18"/>
              </w:rPr>
              <w:t>GDPR - access</w:t>
            </w:r>
          </w:p>
        </w:tc>
        <w:tc>
          <w:tcPr>
            <w:tcW w:type="dxa" w:w="3312"/>
          </w:tcPr>
          <w:p>
            <w:r>
              <w:rPr>
                <w:sz w:val="18"/>
              </w:rPr>
              <w:t>Where GDPR applies, provide an appropriate process for individuals to obtain access to their personal data, subject to applicable legal limitations.</w:t>
            </w:r>
          </w:p>
        </w:tc>
      </w:tr>
      <w:tr>
        <w:tc>
          <w:tcPr>
            <w:tcW w:type="dxa" w:w="3312"/>
          </w:tcPr>
          <w:p>
            <w:r>
              <w:rPr>
                <w:sz w:val="18"/>
              </w:rPr>
              <w:t>COMP-007</w:t>
            </w:r>
          </w:p>
        </w:tc>
        <w:tc>
          <w:tcPr>
            <w:tcW w:type="dxa" w:w="3312"/>
          </w:tcPr>
          <w:p>
            <w:r>
              <w:rPr>
                <w:sz w:val="18"/>
              </w:rPr>
              <w:t>GDPR - correction</w:t>
            </w:r>
          </w:p>
        </w:tc>
        <w:tc>
          <w:tcPr>
            <w:tcW w:type="dxa" w:w="3312"/>
          </w:tcPr>
          <w:p>
            <w:r>
              <w:rPr>
                <w:sz w:val="18"/>
              </w:rPr>
              <w:t>Where GDPR applies, provide a mechanism to request correction of inaccurate personal data.</w:t>
            </w:r>
          </w:p>
        </w:tc>
      </w:tr>
      <w:tr>
        <w:tc>
          <w:tcPr>
            <w:tcW w:type="dxa" w:w="3312"/>
          </w:tcPr>
          <w:p>
            <w:r>
              <w:rPr>
                <w:sz w:val="18"/>
              </w:rPr>
              <w:t>COMP-008</w:t>
            </w:r>
          </w:p>
        </w:tc>
        <w:tc>
          <w:tcPr>
            <w:tcW w:type="dxa" w:w="3312"/>
          </w:tcPr>
          <w:p>
            <w:r>
              <w:rPr>
                <w:sz w:val="18"/>
              </w:rPr>
              <w:t>GDPR - deletion</w:t>
            </w:r>
          </w:p>
        </w:tc>
        <w:tc>
          <w:tcPr>
            <w:tcW w:type="dxa" w:w="3312"/>
          </w:tcPr>
          <w:p>
            <w:r>
              <w:rPr>
                <w:sz w:val="18"/>
              </w:rPr>
              <w:t>Where GDPR applies, support deletion requests where legally applicable. Data subject to mandatory legal/regulatory retention must be handled according to the applicable retention exception.</w:t>
            </w:r>
          </w:p>
        </w:tc>
      </w:tr>
      <w:tr>
        <w:tc>
          <w:tcPr>
            <w:tcW w:type="dxa" w:w="3312"/>
          </w:tcPr>
          <w:p>
            <w:r>
              <w:rPr>
                <w:sz w:val="18"/>
              </w:rPr>
              <w:t>COMP-009</w:t>
            </w:r>
          </w:p>
        </w:tc>
        <w:tc>
          <w:tcPr>
            <w:tcW w:type="dxa" w:w="3312"/>
          </w:tcPr>
          <w:p>
            <w:r>
              <w:rPr>
                <w:sz w:val="18"/>
              </w:rPr>
              <w:t>GDPR - privacy by design</w:t>
            </w:r>
          </w:p>
        </w:tc>
        <w:tc>
          <w:tcPr>
            <w:tcW w:type="dxa" w:w="3312"/>
          </w:tcPr>
          <w:p>
            <w:r>
              <w:rPr>
                <w:sz w:val="18"/>
              </w:rPr>
              <w:t>Privacy and data-protection considerations must be incorporated into system design, including access control, minimization, masking, and retention.</w:t>
            </w:r>
          </w:p>
        </w:tc>
      </w:tr>
      <w:tr>
        <w:tc>
          <w:tcPr>
            <w:tcW w:type="dxa" w:w="3312"/>
          </w:tcPr>
          <w:p>
            <w:r>
              <w:rPr>
                <w:sz w:val="18"/>
              </w:rPr>
              <w:t>COMP-010</w:t>
            </w:r>
          </w:p>
        </w:tc>
        <w:tc>
          <w:tcPr>
            <w:tcW w:type="dxa" w:w="3312"/>
          </w:tcPr>
          <w:p>
            <w:r>
              <w:rPr>
                <w:sz w:val="18"/>
              </w:rPr>
              <w:t>GDPR - breach response</w:t>
            </w:r>
          </w:p>
        </w:tc>
        <w:tc>
          <w:tcPr>
            <w:tcW w:type="dxa" w:w="3312"/>
          </w:tcPr>
          <w:p>
            <w:r>
              <w:rPr>
                <w:sz w:val="18"/>
              </w:rPr>
              <w:t>Potential personal-data breaches must be detectable, logged, escalated, and handled according to the organization's incident-response and applicable regulatory notification procedures.</w:t>
            </w:r>
          </w:p>
        </w:tc>
      </w:tr>
      <w:tr>
        <w:tc>
          <w:tcPr>
            <w:tcW w:type="dxa" w:w="3312"/>
          </w:tcPr>
          <w:p>
            <w:r>
              <w:rPr>
                <w:sz w:val="18"/>
              </w:rPr>
              <w:t>COMP-011</w:t>
            </w:r>
          </w:p>
        </w:tc>
        <w:tc>
          <w:tcPr>
            <w:tcW w:type="dxa" w:w="3312"/>
          </w:tcPr>
          <w:p>
            <w:r>
              <w:rPr>
                <w:sz w:val="18"/>
              </w:rPr>
              <w:t>CCPA/CPRA</w:t>
            </w:r>
          </w:p>
        </w:tc>
        <w:tc>
          <w:tcPr>
            <w:tcW w:type="dxa" w:w="3312"/>
          </w:tcPr>
          <w:p>
            <w:r>
              <w:rPr>
                <w:sz w:val="18"/>
              </w:rPr>
              <w:t>For processing within CCPA/CPRA scope, provide applicable privacy rights mechanisms, appropriate notices, and controls for access, correction, deletion, and other applicable consumer rights.</w:t>
            </w:r>
          </w:p>
        </w:tc>
      </w:tr>
      <w:tr>
        <w:tc>
          <w:tcPr>
            <w:tcW w:type="dxa" w:w="3312"/>
          </w:tcPr>
          <w:p>
            <w:r>
              <w:rPr>
                <w:sz w:val="18"/>
              </w:rPr>
              <w:t>COMP-012</w:t>
            </w:r>
          </w:p>
        </w:tc>
        <w:tc>
          <w:tcPr>
            <w:tcW w:type="dxa" w:w="3312"/>
          </w:tcPr>
          <w:p>
            <w:r>
              <w:rPr>
                <w:sz w:val="18"/>
              </w:rPr>
              <w:t>CCPA/CPRA - data use</w:t>
            </w:r>
          </w:p>
        </w:tc>
        <w:tc>
          <w:tcPr>
            <w:tcW w:type="dxa" w:w="3312"/>
          </w:tcPr>
          <w:p>
            <w:r>
              <w:rPr>
                <w:sz w:val="18"/>
              </w:rPr>
              <w:t>Personal information must be handled consistently with disclosed purposes and applicable contractual, legal, and consumer-rights requirements.</w:t>
            </w:r>
          </w:p>
        </w:tc>
      </w:tr>
      <w:tr>
        <w:tc>
          <w:tcPr>
            <w:tcW w:type="dxa" w:w="3312"/>
          </w:tcPr>
          <w:p>
            <w:r>
              <w:rPr>
                <w:sz w:val="18"/>
              </w:rPr>
              <w:t>COMP-013</w:t>
            </w:r>
          </w:p>
        </w:tc>
        <w:tc>
          <w:tcPr>
            <w:tcW w:type="dxa" w:w="3312"/>
          </w:tcPr>
          <w:p>
            <w:r>
              <w:rPr>
                <w:sz w:val="18"/>
              </w:rPr>
              <w:t>WCAG 2.1 AA</w:t>
            </w:r>
          </w:p>
        </w:tc>
        <w:tc>
          <w:tcPr>
            <w:tcW w:type="dxa" w:w="3312"/>
          </w:tcPr>
          <w:p>
            <w:r>
              <w:rPr>
                <w:sz w:val="18"/>
              </w:rPr>
              <w:t>Customer-facing web interfaces should meet WCAG 2.1 Level AA accessibility requirements, including keyboard accessibility, meaningful labels, sufficient contrast, focus visibility, and accessible error messaging.</w:t>
            </w:r>
          </w:p>
        </w:tc>
      </w:tr>
      <w:tr>
        <w:tc>
          <w:tcPr>
            <w:tcW w:type="dxa" w:w="3312"/>
          </w:tcPr>
          <w:p>
            <w:r>
              <w:rPr>
                <w:sz w:val="18"/>
              </w:rPr>
              <w:t>COMP-014</w:t>
            </w:r>
          </w:p>
        </w:tc>
        <w:tc>
          <w:tcPr>
            <w:tcW w:type="dxa" w:w="3312"/>
          </w:tcPr>
          <w:p>
            <w:r>
              <w:rPr>
                <w:sz w:val="18"/>
              </w:rPr>
              <w:t>WCAG - authentication</w:t>
            </w:r>
          </w:p>
        </w:tc>
        <w:tc>
          <w:tcPr>
            <w:tcW w:type="dxa" w:w="3312"/>
          </w:tcPr>
          <w:p>
            <w:r>
              <w:rPr>
                <w:sz w:val="18"/>
              </w:rPr>
              <w:t>Authentication and security workflows should provide accessible labels, instructions, error feedback, and alternatives that do not unnecessarily prevent users with disabilities from completing the workflow.</w:t>
            </w:r>
          </w:p>
        </w:tc>
      </w:tr>
      <w:tr>
        <w:tc>
          <w:tcPr>
            <w:tcW w:type="dxa" w:w="3312"/>
          </w:tcPr>
          <w:p>
            <w:r>
              <w:rPr>
                <w:sz w:val="18"/>
              </w:rPr>
              <w:t>COMP-015</w:t>
            </w:r>
          </w:p>
        </w:tc>
        <w:tc>
          <w:tcPr>
            <w:tcW w:type="dxa" w:w="3312"/>
          </w:tcPr>
          <w:p>
            <w:r>
              <w:rPr>
                <w:sz w:val="18"/>
              </w:rPr>
              <w:t>Audit and retention</w:t>
            </w:r>
          </w:p>
        </w:tc>
        <w:tc>
          <w:tcPr>
            <w:tcW w:type="dxa" w:w="3312"/>
          </w:tcPr>
          <w:p>
            <w:r>
              <w:rPr>
                <w:sz w:val="18"/>
              </w:rPr>
              <w:t>Financial and security records must be retained for the period defined by applicable law, regulation, contractual obligations, and organizational policy. Retention periods must be configurable rather than hard-coded.</w:t>
            </w:r>
          </w:p>
        </w:tc>
      </w:tr>
      <w:tr>
        <w:tc>
          <w:tcPr>
            <w:tcW w:type="dxa" w:w="3312"/>
          </w:tcPr>
          <w:p>
            <w:r>
              <w:rPr>
                <w:sz w:val="18"/>
              </w:rPr>
              <w:t>COMP-016</w:t>
            </w:r>
          </w:p>
        </w:tc>
        <w:tc>
          <w:tcPr>
            <w:tcW w:type="dxa" w:w="3312"/>
          </w:tcPr>
          <w:p>
            <w:r>
              <w:rPr>
                <w:sz w:val="18"/>
              </w:rPr>
              <w:t>Audit integrity</w:t>
            </w:r>
          </w:p>
        </w:tc>
        <w:tc>
          <w:tcPr>
            <w:tcW w:type="dxa" w:w="3312"/>
          </w:tcPr>
          <w:p>
            <w:r>
              <w:rPr>
                <w:sz w:val="18"/>
              </w:rPr>
              <w:t>Audit records must be protected against unauthorized modification or deletion and should include actor, action, timestamp, target/resource, result, and correlation/reference identifiers where appropriate.</w:t>
            </w:r>
          </w:p>
        </w:tc>
      </w:tr>
      <w:tr>
        <w:tc>
          <w:tcPr>
            <w:tcW w:type="dxa" w:w="3312"/>
          </w:tcPr>
          <w:p>
            <w:r>
              <w:rPr>
                <w:sz w:val="18"/>
              </w:rPr>
              <w:t>COMP-017</w:t>
            </w:r>
          </w:p>
        </w:tc>
        <w:tc>
          <w:tcPr>
            <w:tcW w:type="dxa" w:w="3312"/>
          </w:tcPr>
          <w:p>
            <w:r>
              <w:rPr>
                <w:sz w:val="18"/>
              </w:rPr>
              <w:t>Encryption in transit</w:t>
            </w:r>
          </w:p>
        </w:tc>
        <w:tc>
          <w:tcPr>
            <w:tcW w:type="dxa" w:w="3312"/>
          </w:tcPr>
          <w:p>
            <w:r>
              <w:rPr>
                <w:sz w:val="18"/>
              </w:rPr>
              <w:t>Sensitive information must be protected using appropriate transport encryption for network communication.</w:t>
            </w:r>
          </w:p>
        </w:tc>
      </w:tr>
      <w:tr>
        <w:tc>
          <w:tcPr>
            <w:tcW w:type="dxa" w:w="3312"/>
          </w:tcPr>
          <w:p>
            <w:r>
              <w:rPr>
                <w:sz w:val="18"/>
              </w:rPr>
              <w:t>COMP-018</w:t>
            </w:r>
          </w:p>
        </w:tc>
        <w:tc>
          <w:tcPr>
            <w:tcW w:type="dxa" w:w="3312"/>
          </w:tcPr>
          <w:p>
            <w:r>
              <w:rPr>
                <w:sz w:val="18"/>
              </w:rPr>
              <w:t>Encryption at rest</w:t>
            </w:r>
          </w:p>
        </w:tc>
        <w:tc>
          <w:tcPr>
            <w:tcW w:type="dxa" w:w="3312"/>
          </w:tcPr>
          <w:p>
            <w:r>
              <w:rPr>
                <w:sz w:val="18"/>
              </w:rPr>
              <w:t>Sensitive personal and financial information must be protected at rest using appropriate cryptographic controls based on data classification and applicable policy.</w:t>
            </w:r>
          </w:p>
        </w:tc>
      </w:tr>
      <w:tr>
        <w:tc>
          <w:tcPr>
            <w:tcW w:type="dxa" w:w="3312"/>
          </w:tcPr>
          <w:p>
            <w:r>
              <w:rPr>
                <w:sz w:val="18"/>
              </w:rPr>
              <w:t>COMP-019</w:t>
            </w:r>
          </w:p>
        </w:tc>
        <w:tc>
          <w:tcPr>
            <w:tcW w:type="dxa" w:w="3312"/>
          </w:tcPr>
          <w:p>
            <w:r>
              <w:rPr>
                <w:sz w:val="18"/>
              </w:rPr>
              <w:t>Secrets management</w:t>
            </w:r>
          </w:p>
        </w:tc>
        <w:tc>
          <w:tcPr>
            <w:tcW w:type="dxa" w:w="3312"/>
          </w:tcPr>
          <w:p>
            <w:r>
              <w:rPr>
                <w:sz w:val="18"/>
              </w:rPr>
              <w:t>API keys, credentials, signing keys, and other secrets must not be hard-coded in source code or exposed in logs. Approved secret-management mechanisms must be used.</w:t>
            </w:r>
          </w:p>
        </w:tc>
      </w:tr>
      <w:tr>
        <w:tc>
          <w:tcPr>
            <w:tcW w:type="dxa" w:w="3312"/>
          </w:tcPr>
          <w:p>
            <w:r>
              <w:rPr>
                <w:sz w:val="18"/>
              </w:rPr>
              <w:t>COMP-020</w:t>
            </w:r>
          </w:p>
        </w:tc>
        <w:tc>
          <w:tcPr>
            <w:tcW w:type="dxa" w:w="3312"/>
          </w:tcPr>
          <w:p>
            <w:r>
              <w:rPr>
                <w:sz w:val="18"/>
              </w:rPr>
              <w:t>Incident response</w:t>
            </w:r>
          </w:p>
        </w:tc>
        <w:tc>
          <w:tcPr>
            <w:tcW w:type="dxa" w:w="3312"/>
          </w:tcPr>
          <w:p>
            <w:r>
              <w:rPr>
                <w:sz w:val="18"/>
              </w:rPr>
              <w:t>Security incidents and suspected fraud events must be recorded, investigated, escalated, and resolved through a documented incident-response process.</w:t>
            </w:r>
          </w:p>
        </w:tc>
      </w:tr>
    </w:tbl>
    <w:p>
      <w:pPr>
        <w:pStyle w:val="Heading1"/>
      </w:pPr>
      <w:r>
        <w:t>5.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sz w:val="18"/>
              </w:rPr>
              <w:t>ID</w:t>
            </w:r>
          </w:p>
        </w:tc>
        <w:tc>
          <w:tcPr>
            <w:tcW w:type="dxa" w:w="3312"/>
          </w:tcPr>
          <w:p>
            <w:r>
              <w:rPr>
                <w:sz w:val="18"/>
              </w:rPr>
              <w:t>Category</w:t>
            </w:r>
          </w:p>
        </w:tc>
        <w:tc>
          <w:tcPr>
            <w:tcW w:type="dxa" w:w="3312"/>
          </w:tcPr>
          <w:p>
            <w:r>
              <w:rPr>
                <w:sz w:val="18"/>
              </w:rPr>
              <w:t>Requirement</w:t>
            </w:r>
          </w:p>
        </w:tc>
      </w:tr>
      <w:tr>
        <w:tc>
          <w:tcPr>
            <w:tcW w:type="dxa" w:w="3312"/>
          </w:tcPr>
          <w:p>
            <w:r>
              <w:rPr>
                <w:sz w:val="18"/>
              </w:rPr>
              <w:t>NFR-001</w:t>
            </w:r>
          </w:p>
        </w:tc>
        <w:tc>
          <w:tcPr>
            <w:tcW w:type="dxa" w:w="3312"/>
          </w:tcPr>
          <w:p>
            <w:r>
              <w:rPr>
                <w:sz w:val="18"/>
              </w:rPr>
              <w:t>Performance</w:t>
            </w:r>
          </w:p>
        </w:tc>
        <w:tc>
          <w:tcPr>
            <w:tcW w:type="dxa" w:w="3312"/>
          </w:tcPr>
          <w:p>
            <w:r>
              <w:rPr>
                <w:sz w:val="18"/>
              </w:rPr>
              <w:t>Normal transaction authorization requests should meet the application's agreed response-time target. The exact SLA should be configurable and environment-specific.</w:t>
            </w:r>
          </w:p>
        </w:tc>
      </w:tr>
      <w:tr>
        <w:tc>
          <w:tcPr>
            <w:tcW w:type="dxa" w:w="3312"/>
          </w:tcPr>
          <w:p>
            <w:r>
              <w:rPr>
                <w:sz w:val="18"/>
              </w:rPr>
              <w:t>NFR-002</w:t>
            </w:r>
          </w:p>
        </w:tc>
        <w:tc>
          <w:tcPr>
            <w:tcW w:type="dxa" w:w="3312"/>
          </w:tcPr>
          <w:p>
            <w:r>
              <w:rPr>
                <w:sz w:val="18"/>
              </w:rPr>
              <w:t>Availability</w:t>
            </w:r>
          </w:p>
        </w:tc>
        <w:tc>
          <w:tcPr>
            <w:tcW w:type="dxa" w:w="3312"/>
          </w:tcPr>
          <w:p>
            <w:r>
              <w:rPr>
                <w:sz w:val="18"/>
              </w:rPr>
              <w:t>Payment processing components should meet the agreed availability target and provide controlled degradation during dependency failures.</w:t>
            </w:r>
          </w:p>
        </w:tc>
      </w:tr>
      <w:tr>
        <w:tc>
          <w:tcPr>
            <w:tcW w:type="dxa" w:w="3312"/>
          </w:tcPr>
          <w:p>
            <w:r>
              <w:rPr>
                <w:sz w:val="18"/>
              </w:rPr>
              <w:t>NFR-003</w:t>
            </w:r>
          </w:p>
        </w:tc>
        <w:tc>
          <w:tcPr>
            <w:tcW w:type="dxa" w:w="3312"/>
          </w:tcPr>
          <w:p>
            <w:r>
              <w:rPr>
                <w:sz w:val="18"/>
              </w:rPr>
              <w:t>Security</w:t>
            </w:r>
          </w:p>
        </w:tc>
        <w:tc>
          <w:tcPr>
            <w:tcW w:type="dxa" w:w="3312"/>
          </w:tcPr>
          <w:p>
            <w:r>
              <w:rPr>
                <w:sz w:val="18"/>
              </w:rPr>
              <w:t>Authentication, authorization, input validation, rate limiting, secure session handling, and secure error handling must be implemented according to the organization's security baseline.</w:t>
            </w:r>
          </w:p>
        </w:tc>
      </w:tr>
      <w:tr>
        <w:tc>
          <w:tcPr>
            <w:tcW w:type="dxa" w:w="3312"/>
          </w:tcPr>
          <w:p>
            <w:r>
              <w:rPr>
                <w:sz w:val="18"/>
              </w:rPr>
              <w:t>NFR-004</w:t>
            </w:r>
          </w:p>
        </w:tc>
        <w:tc>
          <w:tcPr>
            <w:tcW w:type="dxa" w:w="3312"/>
          </w:tcPr>
          <w:p>
            <w:r>
              <w:rPr>
                <w:sz w:val="18"/>
              </w:rPr>
              <w:t>Reliability</w:t>
            </w:r>
          </w:p>
        </w:tc>
        <w:tc>
          <w:tcPr>
            <w:tcW w:type="dxa" w:w="3312"/>
          </w:tcPr>
          <w:p>
            <w:r>
              <w:rPr>
                <w:sz w:val="18"/>
              </w:rPr>
              <w:t>Retries must be safe and must not create duplicate financial transactions.</w:t>
            </w:r>
          </w:p>
        </w:tc>
      </w:tr>
      <w:tr>
        <w:tc>
          <w:tcPr>
            <w:tcW w:type="dxa" w:w="3312"/>
          </w:tcPr>
          <w:p>
            <w:r>
              <w:rPr>
                <w:sz w:val="18"/>
              </w:rPr>
              <w:t>NFR-005</w:t>
            </w:r>
          </w:p>
        </w:tc>
        <w:tc>
          <w:tcPr>
            <w:tcW w:type="dxa" w:w="3312"/>
          </w:tcPr>
          <w:p>
            <w:r>
              <w:rPr>
                <w:sz w:val="18"/>
              </w:rPr>
              <w:t>Observability</w:t>
            </w:r>
          </w:p>
        </w:tc>
        <w:tc>
          <w:tcPr>
            <w:tcW w:type="dxa" w:w="3312"/>
          </w:tcPr>
          <w:p>
            <w:r>
              <w:rPr>
                <w:sz w:val="18"/>
              </w:rPr>
              <w:t>Important transaction and security workflows must provide structured logs, metrics, tracing/correlation IDs, and actionable alerts.</w:t>
            </w:r>
          </w:p>
        </w:tc>
      </w:tr>
      <w:tr>
        <w:tc>
          <w:tcPr>
            <w:tcW w:type="dxa" w:w="3312"/>
          </w:tcPr>
          <w:p>
            <w:r>
              <w:rPr>
                <w:sz w:val="18"/>
              </w:rPr>
              <w:t>NFR-006</w:t>
            </w:r>
          </w:p>
        </w:tc>
        <w:tc>
          <w:tcPr>
            <w:tcW w:type="dxa" w:w="3312"/>
          </w:tcPr>
          <w:p>
            <w:r>
              <w:rPr>
                <w:sz w:val="18"/>
              </w:rPr>
              <w:t>Accessibility</w:t>
            </w:r>
          </w:p>
        </w:tc>
        <w:tc>
          <w:tcPr>
            <w:tcW w:type="dxa" w:w="3312"/>
          </w:tcPr>
          <w:p>
            <w:r>
              <w:rPr>
                <w:sz w:val="18"/>
              </w:rPr>
              <w:t>Customer-facing workflows should satisfy WCAG 2.1 AA requirements where applicable.</w:t>
            </w:r>
          </w:p>
        </w:tc>
      </w:tr>
      <w:tr>
        <w:tc>
          <w:tcPr>
            <w:tcW w:type="dxa" w:w="3312"/>
          </w:tcPr>
          <w:p>
            <w:r>
              <w:rPr>
                <w:sz w:val="18"/>
              </w:rPr>
              <w:t>NFR-007</w:t>
            </w:r>
          </w:p>
        </w:tc>
        <w:tc>
          <w:tcPr>
            <w:tcW w:type="dxa" w:w="3312"/>
          </w:tcPr>
          <w:p>
            <w:r>
              <w:rPr>
                <w:sz w:val="18"/>
              </w:rPr>
              <w:t>Privacy</w:t>
            </w:r>
          </w:p>
        </w:tc>
        <w:tc>
          <w:tcPr>
            <w:tcW w:type="dxa" w:w="3312"/>
          </w:tcPr>
          <w:p>
            <w:r>
              <w:rPr>
                <w:sz w:val="18"/>
              </w:rPr>
              <w:t>Sensitive personal data must be minimized, masked where appropriate, access-controlled, and retained only according to applicable policy.</w:t>
            </w:r>
          </w:p>
        </w:tc>
      </w:tr>
      <w:tr>
        <w:tc>
          <w:tcPr>
            <w:tcW w:type="dxa" w:w="3312"/>
          </w:tcPr>
          <w:p>
            <w:r>
              <w:rPr>
                <w:sz w:val="18"/>
              </w:rPr>
              <w:t>NFR-008</w:t>
            </w:r>
          </w:p>
        </w:tc>
        <w:tc>
          <w:tcPr>
            <w:tcW w:type="dxa" w:w="3312"/>
          </w:tcPr>
          <w:p>
            <w:r>
              <w:rPr>
                <w:sz w:val="18"/>
              </w:rPr>
              <w:t>Scalability</w:t>
            </w:r>
          </w:p>
        </w:tc>
        <w:tc>
          <w:tcPr>
            <w:tcW w:type="dxa" w:w="3312"/>
          </w:tcPr>
          <w:p>
            <w:r>
              <w:rPr>
                <w:sz w:val="18"/>
              </w:rPr>
              <w:t>The platform should support increased transaction volume without compromising correctness, security, or agreed performance objectives.</w:t>
            </w:r>
          </w:p>
        </w:tc>
      </w:tr>
    </w:tbl>
    <w:p>
      <w:pPr>
        <w:pStyle w:val="Heading1"/>
      </w:pPr>
      <w:r>
        <w:t>6. Example Requirement Prompts for the RAG Application</w:t>
      </w:r>
    </w:p>
    <w:p>
      <w:r>
        <w:t>Use any of these as the input to the RAG program:</w:t>
      </w:r>
    </w:p>
    <w:p>
      <w:pPr>
        <w:pStyle w:val="ListBullet"/>
      </w:pPr>
      <w:r>
        <w:t>Unified Login and MFA</w:t>
      </w:r>
    </w:p>
    <w:p>
      <w:pPr>
        <w:pStyle w:val="ListBullet"/>
      </w:pPr>
      <w:r>
        <w:t>RBAC for Customer Support and Administrators</w:t>
      </w:r>
    </w:p>
    <w:p>
      <w:pPr>
        <w:pStyle w:val="ListBullet"/>
      </w:pPr>
      <w:r>
        <w:t>Add a New Payment Method</w:t>
      </w:r>
    </w:p>
    <w:p>
      <w:pPr>
        <w:pStyle w:val="ListBullet"/>
      </w:pPr>
      <w:r>
        <w:t>Peer-to-Peer Wallet Transfer</w:t>
      </w:r>
    </w:p>
    <w:p>
      <w:pPr>
        <w:pStyle w:val="ListBullet"/>
      </w:pPr>
      <w:r>
        <w:t>Merchant Payment</w:t>
      </w:r>
    </w:p>
    <w:p>
      <w:pPr>
        <w:pStyle w:val="ListBullet"/>
      </w:pPr>
      <w:r>
        <w:t>Transaction History</w:t>
      </w:r>
    </w:p>
    <w:p>
      <w:pPr>
        <w:pStyle w:val="ListBullet"/>
      </w:pPr>
      <w:r>
        <w:t>Refund and Reversal</w:t>
      </w:r>
    </w:p>
    <w:p>
      <w:pPr>
        <w:pStyle w:val="ListBullet"/>
      </w:pPr>
      <w:r>
        <w:t>Suspicious Transaction Detection</w:t>
      </w:r>
    </w:p>
    <w:p>
      <w:pPr>
        <w:pStyle w:val="ListBullet"/>
      </w:pPr>
      <w:r>
        <w:t>Customer Account Closure</w:t>
      </w:r>
    </w:p>
    <w:p>
      <w:pPr>
        <w:pStyle w:val="ListBullet"/>
      </w:pPr>
      <w:r>
        <w:t>Update Personal Information</w:t>
      </w:r>
    </w:p>
    <w:p>
      <w:pPr>
        <w:pStyle w:val="Heading1"/>
      </w:pPr>
      <w:r>
        <w:t>7. Expected RAG Behavior</w:t>
      </w:r>
    </w:p>
    <w:p>
      <w:r>
        <w:t>For a requirement such as 'Peer-to-Peer Wallet Transfer', the generated output should ideally consider:</w:t>
      </w:r>
    </w:p>
    <w:p>
      <w:pPr>
        <w:pStyle w:val="ListBullet"/>
      </w:pPr>
      <w:r>
        <w:t>The relevant business rules such as authorization, sufficient balance, transaction limits, idempotency, atomicity, suspicious-activity checks, and transaction states.</w:t>
      </w:r>
    </w:p>
    <w:p>
      <w:pPr>
        <w:pStyle w:val="ListBullet"/>
      </w:pPr>
      <w:r>
        <w:t>Applicable compliance/security controls such as PCI DSS where card data is involved, privacy controls where personal data is processed, auditability, encryption, and secure logging.</w:t>
      </w:r>
    </w:p>
    <w:p>
      <w:pPr>
        <w:pStyle w:val="ListBullet"/>
      </w:pPr>
      <w:r>
        <w:t>Gherkin acceptance criteria covering positive and negative scenarios.</w:t>
      </w:r>
    </w:p>
    <w:p>
      <w:pPr>
        <w:pStyle w:val="ListBullet"/>
      </w:pPr>
      <w:r>
        <w:t>Non-functional criteria such as performance, reliability, availability, observability, and accessibility where applicable.</w:t>
      </w:r>
    </w:p>
    <w:p>
      <w:pPr>
        <w:pStyle w:val="ListBullet"/>
      </w:pPr>
      <w:r>
        <w:t>A standards validation summary identifying controls that cannot be conclusively satisfied from the supplied knowledge base.</w:t>
      </w:r>
    </w:p>
    <w:p>
      <w:pPr>
        <w:pStyle w:val="Heading1"/>
      </w:pPr>
      <w:r>
        <w:t>8. Suggested Test Scenarios for Later Corrective RAG / Test Generation</w:t>
      </w:r>
    </w:p>
    <w:p>
      <w:pPr>
        <w:pStyle w:val="ListBullet"/>
      </w:pPr>
      <w:r>
        <w:t>Successful transfer within balance and transaction limits.</w:t>
      </w:r>
    </w:p>
    <w:p>
      <w:pPr>
        <w:pStyle w:val="ListBullet"/>
      </w:pPr>
      <w:r>
        <w:t>Transfer rejected because of insufficient balance.</w:t>
      </w:r>
    </w:p>
    <w:p>
      <w:pPr>
        <w:pStyle w:val="ListBullet"/>
      </w:pPr>
      <w:r>
        <w:t>Transfer rejected because the user is unauthorized.</w:t>
      </w:r>
    </w:p>
    <w:p>
      <w:pPr>
        <w:pStyle w:val="ListBullet"/>
      </w:pPr>
      <w:r>
        <w:t>Transfer rejected because the account is locked or inactive.</w:t>
      </w:r>
    </w:p>
    <w:p>
      <w:pPr>
        <w:pStyle w:val="ListBullet"/>
      </w:pPr>
      <w:r>
        <w:t>Duplicate request with the same idempotency key does not create a second transaction.</w:t>
      </w:r>
    </w:p>
    <w:p>
      <w:pPr>
        <w:pStyle w:val="ListBullet"/>
      </w:pPr>
      <w:r>
        <w:t>Transaction exceeding a configured limit is rejected or routed for review.</w:t>
      </w:r>
    </w:p>
    <w:p>
      <w:pPr>
        <w:pStyle w:val="ListBullet"/>
      </w:pPr>
      <w:r>
        <w:t>Suspicious transaction triggers the configured risk workflow.</w:t>
      </w:r>
    </w:p>
    <w:p>
      <w:pPr>
        <w:pStyle w:val="ListBullet"/>
      </w:pPr>
      <w:r>
        <w:t>Downstream payment dependency failure does not result in an inconsistent wallet balance.</w:t>
      </w:r>
    </w:p>
    <w:p>
      <w:pPr>
        <w:pStyle w:val="ListBullet"/>
      </w:pPr>
      <w:r>
        <w:t>Unauthorized user cannot access another user's transaction history.</w:t>
      </w:r>
    </w:p>
    <w:p>
      <w:pPr>
        <w:pStyle w:val="ListBullet"/>
      </w:pPr>
      <w:r>
        <w:t>Sensitive payment data is masked in logs and UI.</w:t>
      </w:r>
    </w:p>
    <w:p>
      <w:pPr>
        <w:pStyle w:val="ListBullet"/>
      </w:pPr>
      <w:r>
        <w:t>Audit records are created for successful and failed sensitive operations.</w:t>
      </w:r>
    </w:p>
    <w:p>
      <w:pPr>
        <w:pStyle w:val="ListBullet"/>
      </w:pPr>
      <w:r>
        <w:t>Accessible error messages are presented to users during validation failures.</w:t>
      </w:r>
    </w:p>
    <w:p>
      <w:pPr>
        <w:pStyle w:val="Heading1"/>
      </w:pPr>
      <w:r>
        <w:t>9. RAG Metadata / Source Labels</w:t>
      </w:r>
    </w:p>
    <w:p>
      <w:r>
        <w:t>For a more advanced implementation, each rule can be treated as a retrievable knowledge item with metadata such as:</w:t>
      </w:r>
    </w:p>
    <w:p>
      <w:pPr>
        <w:pStyle w:val="ListBullet"/>
      </w:pPr>
      <w:r>
        <w:t>rule_id: BR-001 / COMP-001 / NFR-001</w:t>
      </w:r>
    </w:p>
    <w:p>
      <w:pPr>
        <w:pStyle w:val="ListBullet"/>
      </w:pPr>
      <w:r>
        <w:t>domain: payments / security / privacy / accessibility</w:t>
      </w:r>
    </w:p>
    <w:p>
      <w:pPr>
        <w:pStyle w:val="ListBullet"/>
      </w:pPr>
      <w:r>
        <w:t>source_type: business_rule / compliance / non_functional</w:t>
      </w:r>
    </w:p>
    <w:p>
      <w:pPr>
        <w:pStyle w:val="ListBullet"/>
      </w:pPr>
      <w:r>
        <w:t>priority: critical / high / medium / low</w:t>
      </w:r>
    </w:p>
    <w:p>
      <w:pPr>
        <w:pStyle w:val="ListBullet"/>
      </w:pPr>
      <w:r>
        <w:t>applicability: always / conditional</w:t>
      </w:r>
    </w:p>
    <w:p>
      <w:pPr>
        <w:pStyle w:val="ListBullet"/>
      </w:pPr>
      <w:r>
        <w:t>version: training-v1</w:t>
      </w:r>
    </w:p>
    <w:p>
      <w:pPr>
        <w:pStyle w:val="Heading1"/>
      </w:pPr>
      <w:r>
        <w:t>10. Important Training Disclaimer</w:t>
      </w:r>
    </w:p>
    <w:p>
      <w:r>
        <w:t>This document is synthetic training content designed for demonstrating RAG, corrective RAG, requirements engineering, and AI-assisted QA workflows. References to GDPR, CCPA/CPRA, PCI DSS, and WCAG are intentionally high-level. They should not be treated as a complete compliance checklist or legal interpretation. A production system should use the organization's approved legal, security, privacy, and regulatory requirements and current framework versions.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