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08"/>
        <w:gridCol w:w="4608"/>
      </w:tblGrid>
      <w:tr>
        <w:tc>
          <w:tcPr>
            <w:tcW w:type="dxa" w:w="4824"/>
          </w:tcPr>
          <w:p>
            <w:pPr>
              <w:jc w:val="left"/>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097280" cy="1097280"/>
                          </a:xfrm>
                          <a:prstGeom prst="rect"/>
                        </pic:spPr>
                      </pic:pic>
                    </a:graphicData>
                  </a:graphic>
                </wp:inline>
              </w:drawing>
            </w:r>
          </w:p>
        </w:tc>
        <w:tc>
          <w:tcPr>
            <w:tcW w:type="dxa" w:w="4824"/>
          </w:tcPr>
          <w:p>
            <w:pPr>
              <w:jc w:val="right"/>
            </w:pPr>
            <w:r>
              <w:drawing>
                <wp:inline xmlns:a="http://schemas.openxmlformats.org/drawingml/2006/main" xmlns:pic="http://schemas.openxmlformats.org/drawingml/2006/picture">
                  <wp:extent cx="1097280" cy="1097280"/>
                  <wp:docPr id="2" name="Picture 2"/>
                  <wp:cNvGraphicFramePr>
                    <a:graphicFrameLocks noChangeAspect="1"/>
                  </wp:cNvGraphicFramePr>
                  <a:graphic>
                    <a:graphicData uri="http://schemas.openxmlformats.org/drawingml/2006/picture">
                      <pic:pic>
                        <pic:nvPicPr>
                          <pic:cNvPr id="0" name="sistemas.png"/>
                          <pic:cNvPicPr/>
                        </pic:nvPicPr>
                        <pic:blipFill>
                          <a:blip r:embed="rId11"/>
                          <a:stretch>
                            <a:fillRect/>
                          </a:stretch>
                        </pic:blipFill>
                        <pic:spPr>
                          <a:xfrm>
                            <a:off x="0" y="0"/>
                            <a:ext cx="1097280" cy="1097280"/>
                          </a:xfrm>
                          <a:prstGeom prst="rect"/>
                        </pic:spPr>
                      </pic:pic>
                    </a:graphicData>
                  </a:graphic>
                </wp:inline>
              </w:drawing>
            </w:r>
          </w:p>
        </w:tc>
      </w:tr>
    </w:tbl>
    <w:p>
      <w:pPr>
        <w:spacing w:before="480"/>
      </w:pPr>
    </w:p>
    <w:p>
      <w:pPr>
        <w:spacing w:after="40"/>
        <w:jc w:val="center"/>
      </w:pPr>
      <w:r>
        <w:rPr>
          <w:rFonts w:ascii="Arial" w:hAnsi="Arial"/>
          <w:b/>
          <w:color w:val="475569"/>
          <w:sz w:val="26"/>
        </w:rPr>
        <w:t>CENTRO DE EDUCACIÓN ALTERNATIVA</w:t>
        <w:br/>
        <w:t>«PROF. HERMAN ORTIZ CAMARGO»</w:t>
      </w:r>
    </w:p>
    <w:p>
      <w:pPr>
        <w:spacing w:after="320"/>
        <w:jc w:val="center"/>
      </w:pPr>
      <w:r>
        <w:rPr>
          <w:rFonts w:ascii="Arial" w:hAnsi="Arial"/>
          <w:b/>
          <w:color w:val="0284C7"/>
          <w:sz w:val="21"/>
        </w:rPr>
        <w:t>CARRERA TÉCNICA SUPERIOR EN SISTEMAS INFORMÁTICOS</w:t>
        <w:br/>
        <w:t>PAILÓN - SANTA CRUZ, BOLIVIA</w:t>
      </w:r>
    </w:p>
    <w:p>
      <w:pPr>
        <w:spacing w:before="200" w:after="120"/>
        <w:jc w:val="center"/>
      </w:pPr>
      <w:r>
        <w:rPr>
          <w:rFonts w:ascii="Arial" w:hAnsi="Arial"/>
          <w:b/>
          <w:color w:val="D97706"/>
          <w:sz w:val="22"/>
        </w:rPr>
        <w:t>IV CONCURSO DE PROYECTOS DE INNOVACIÓN Y EMPRENDIMIENTO</w:t>
      </w:r>
    </w:p>
    <w:p>
      <w:pPr>
        <w:spacing w:before="120" w:after="240"/>
        <w:jc w:val="center"/>
      </w:pPr>
      <w:r>
        <w:rPr>
          <w:rFonts w:ascii="Arial" w:hAnsi="Arial"/>
          <w:b/>
          <w:color w:val="0F172A"/>
          <w:sz w:val="52"/>
        </w:rPr>
        <w:t>MANUAL OFICIAL DE USUARIO</w:t>
      </w:r>
    </w:p>
    <w:p>
      <w:pPr>
        <w:spacing w:before="0" w:after="560"/>
        <w:jc w:val="center"/>
      </w:pPr>
      <w:r>
        <w:rPr>
          <w:rFonts w:ascii="Arial" w:hAnsi="Arial"/>
          <w:b/>
          <w:color w:val="0284C7"/>
          <w:sz w:val="26"/>
        </w:rPr>
        <w:t>SISTEMA WEB DE CALIFICACIÓN, TABULACIÓN EN TIEMPO REAL</w:t>
        <w:br/>
        <w:t>Y RESOLUCIÓN OFICIAL DE DESEMPATES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168"/>
        <w:gridCol w:w="6048"/>
      </w:tblGrid>
      <w:tr>
        <w:tc>
          <w:tcPr>
            <w:tcW w:type="dxa" w:w="4824"/>
            <w:shd w:fill="F8FAFC"/>
            <w:tcMar>
              <w:top w:w="60" w:type="dxa"/>
              <w:bottom w:w="60" w:type="dxa"/>
              <w:left w:w="100" w:type="dxa"/>
              <w:right w:w="100" w:type="dxa"/>
            </w:tcMar>
          </w:tcPr>
          <w:p>
            <w:r>
              <w:rPr>
                <w:b/>
                <w:color w:val="0F172A"/>
                <w:sz w:val="19"/>
              </w:rPr>
              <w:t>Destinatarios:</w:t>
            </w:r>
          </w:p>
        </w:tc>
        <w:tc>
          <w:tcPr>
            <w:tcW w:type="dxa" w:w="4824"/>
            <w:shd w:fill="F8FAFC"/>
            <w:tcMar>
              <w:top w:w="60" w:type="dxa"/>
              <w:bottom w:w="60" w:type="dxa"/>
              <w:left w:w="100" w:type="dxa"/>
              <w:right w:w="100" w:type="dxa"/>
            </w:tcMar>
          </w:tcPr>
          <w:p>
            <w:r>
              <w:rPr>
                <w:color w:val="1E293B"/>
                <w:sz w:val="19"/>
              </w:rPr>
              <w:t>Público General, 3 Jurados Calificadores y Administrador</w:t>
            </w:r>
          </w:p>
        </w:tc>
      </w:tr>
      <w:tr>
        <w:tc>
          <w:tcPr>
            <w:tcW w:type="dxa" w:w="4824"/>
            <w:shd w:fill="F8FAFC"/>
            <w:tcMar>
              <w:top w:w="60" w:type="dxa"/>
              <w:bottom w:w="60" w:type="dxa"/>
              <w:left w:w="100" w:type="dxa"/>
              <w:right w:w="100" w:type="dxa"/>
            </w:tcMar>
          </w:tcPr>
          <w:p>
            <w:r>
              <w:rPr>
                <w:b/>
                <w:color w:val="0F172A"/>
                <w:sz w:val="19"/>
              </w:rPr>
              <w:t>Plataforma:</w:t>
            </w:r>
          </w:p>
        </w:tc>
        <w:tc>
          <w:tcPr>
            <w:tcW w:type="dxa" w:w="4824"/>
            <w:shd w:fill="F8FAFC"/>
            <w:tcMar>
              <w:top w:w="60" w:type="dxa"/>
              <w:bottom w:w="60" w:type="dxa"/>
              <w:left w:w="100" w:type="dxa"/>
              <w:right w:w="100" w:type="dxa"/>
            </w:tcMar>
          </w:tcPr>
          <w:p>
            <w:r>
              <w:rPr>
                <w:color w:val="1E293B"/>
                <w:sz w:val="19"/>
              </w:rPr>
              <w:t>Aplicación Web Responsiva (Móvil, Tablet y Escritorio)</w:t>
            </w:r>
          </w:p>
        </w:tc>
      </w:tr>
      <w:tr>
        <w:tc>
          <w:tcPr>
            <w:tcW w:type="dxa" w:w="4824"/>
            <w:shd w:fill="F8FAFC"/>
            <w:tcMar>
              <w:top w:w="60" w:type="dxa"/>
              <w:bottom w:w="60" w:type="dxa"/>
              <w:left w:w="100" w:type="dxa"/>
              <w:right w:w="100" w:type="dxa"/>
            </w:tcMar>
          </w:tcPr>
          <w:p>
            <w:r>
              <w:rPr>
                <w:b/>
                <w:color w:val="0F172A"/>
                <w:sz w:val="19"/>
              </w:rPr>
              <w:t>Versión del Sistema:</w:t>
            </w:r>
          </w:p>
        </w:tc>
        <w:tc>
          <w:tcPr>
            <w:tcW w:type="dxa" w:w="4824"/>
            <w:shd w:fill="F8FAFC"/>
            <w:tcMar>
              <w:top w:w="60" w:type="dxa"/>
              <w:bottom w:w="60" w:type="dxa"/>
              <w:left w:w="100" w:type="dxa"/>
              <w:right w:w="100" w:type="dxa"/>
            </w:tcMar>
          </w:tcPr>
          <w:p>
            <w:r>
              <w:rPr>
                <w:color w:val="1E293B"/>
                <w:sz w:val="19"/>
              </w:rPr>
              <w:t>Versión 1.0 Oficial (Frontend HTML5 / Tailwind CSS / Vanilla JS)</w:t>
            </w:r>
          </w:p>
        </w:tc>
      </w:tr>
      <w:tr>
        <w:tc>
          <w:tcPr>
            <w:tcW w:type="dxa" w:w="4824"/>
            <w:shd w:fill="F8FAFC"/>
            <w:tcMar>
              <w:top w:w="60" w:type="dxa"/>
              <w:bottom w:w="60" w:type="dxa"/>
              <w:left w:w="100" w:type="dxa"/>
              <w:right w:w="100" w:type="dxa"/>
            </w:tcMar>
          </w:tcPr>
          <w:p>
            <w:r>
              <w:rPr>
                <w:b/>
                <w:color w:val="0F172A"/>
                <w:sz w:val="19"/>
              </w:rPr>
              <w:t>Fecha de Publicación:</w:t>
            </w:r>
          </w:p>
        </w:tc>
        <w:tc>
          <w:tcPr>
            <w:tcW w:type="dxa" w:w="4824"/>
            <w:shd w:fill="F8FAFC"/>
            <w:tcMar>
              <w:top w:w="60" w:type="dxa"/>
              <w:bottom w:w="60" w:type="dxa"/>
              <w:left w:w="100" w:type="dxa"/>
              <w:right w:w="100" w:type="dxa"/>
            </w:tcMar>
          </w:tcPr>
          <w:p>
            <w:r>
              <w:rPr>
                <w:color w:val="1E293B"/>
                <w:sz w:val="19"/>
              </w:rPr>
              <w:t>Gestión Académica 2026 - Pailón</w:t>
            </w:r>
          </w:p>
        </w:tc>
      </w:tr>
    </w:tbl>
    <w:p>
      <w:pPr>
        <w:spacing w:before="720"/>
        <w:jc w:val="center"/>
      </w:pPr>
      <w:r>
        <w:rPr>
          <w:i/>
          <w:color w:val="0284C7"/>
          <w:sz w:val="22"/>
        </w:rPr>
        <w:t>«—— Innovación que construye futuro ——»</w:t>
      </w:r>
    </w:p>
    <w:p>
      <w:r>
        <w:br w:type="page"/>
      </w:r>
    </w:p>
    <w:p>
      <w:pPr>
        <w:spacing w:before="200" w:after="240"/>
      </w:pPr>
      <w:r>
        <w:rPr>
          <w:rFonts w:ascii="Arial" w:hAnsi="Arial"/>
          <w:b/>
          <w:color w:val="0F172A"/>
          <w:sz w:val="32"/>
        </w:rPr>
        <w:t>CONTENIDO DEL MANUAL</w:t>
      </w:r>
    </w:p>
    <w:p>
      <w:pPr>
        <w:spacing w:before="60" w:after="60"/>
      </w:pPr>
      <w:r>
        <w:rPr>
          <w:b/>
          <w:color w:val="0284C7"/>
          <w:sz w:val="21"/>
        </w:rPr>
        <w:t>• 1. INTRODUCCIÓN Y OBJETIVOS DEL SISTEMA</w:t>
      </w:r>
      <w:r>
        <w:rPr>
          <w:color w:val="475569"/>
          <w:sz w:val="19"/>
        </w:rPr>
        <w:br/>
        <w:t xml:space="preserve">   Finalidad, alcance y características generales</w:t>
      </w:r>
    </w:p>
    <w:p>
      <w:pPr>
        <w:spacing w:before="60" w:after="60"/>
      </w:pPr>
      <w:r>
        <w:rPr>
          <w:b/>
          <w:color w:val="0284C7"/>
          <w:sz w:val="21"/>
        </w:rPr>
        <w:t>• 2. ESTRUCTURA DE ROLES Y CREDENCIALES DE ACCESO</w:t>
      </w:r>
      <w:r>
        <w:rPr>
          <w:color w:val="475569"/>
          <w:sz w:val="19"/>
        </w:rPr>
        <w:br/>
        <w:t xml:space="preserve">   Público, Jurados (1, 2, 3) y Administrador General</w:t>
      </w:r>
    </w:p>
    <w:p>
      <w:pPr>
        <w:spacing w:before="60" w:after="60"/>
      </w:pPr>
      <w:r>
        <w:rPr>
          <w:b/>
          <w:color w:val="0284C7"/>
          <w:sz w:val="21"/>
        </w:rPr>
        <w:t>• 3. CATÁLOGO OFICIAL DE LOS 7 STANDS PARTICIPANTES</w:t>
      </w:r>
      <w:r>
        <w:rPr>
          <w:color w:val="475569"/>
          <w:sz w:val="19"/>
        </w:rPr>
        <w:br/>
        <w:t xml:space="preserve">   Nómina oficial de proyectos y modalidades</w:t>
      </w:r>
    </w:p>
    <w:p>
      <w:pPr>
        <w:spacing w:before="60" w:after="60"/>
      </w:pPr>
      <w:r>
        <w:rPr>
          <w:b/>
          <w:color w:val="0284C7"/>
          <w:sz w:val="21"/>
        </w:rPr>
        <w:t>• 4. GUÍA DE USUARIO: PÚBLICO GENERAL Y ESTUDIANTES</w:t>
      </w:r>
      <w:r>
        <w:rPr>
          <w:color w:val="475569"/>
          <w:sz w:val="19"/>
        </w:rPr>
        <w:br/>
        <w:t xml:space="preserve">   Visualización en vivo, nota centralizada y podio</w:t>
      </w:r>
    </w:p>
    <w:p>
      <w:pPr>
        <w:spacing w:before="60" w:after="60"/>
      </w:pPr>
      <w:r>
        <w:rPr>
          <w:b/>
          <w:color w:val="0284C7"/>
          <w:sz w:val="21"/>
        </w:rPr>
        <w:t>• 5. GUÍA DE USUARIO: JURADOS CALIFICADORES (1, 2 Y 3)</w:t>
      </w:r>
      <w:r>
        <w:rPr>
          <w:color w:val="475569"/>
          <w:sz w:val="19"/>
        </w:rPr>
        <w:br/>
        <w:t xml:space="preserve">   Evaluación en la Hoja Oficial con 4 criterios</w:t>
      </w:r>
    </w:p>
    <w:p>
      <w:pPr>
        <w:spacing w:before="60" w:after="60"/>
      </w:pPr>
      <w:r>
        <w:rPr>
          <w:b/>
          <w:color w:val="0284C7"/>
          <w:sz w:val="21"/>
        </w:rPr>
        <w:t>• 6. GUÍA DE USUARIO: ADMINISTRADOR GENERAL</w:t>
      </w:r>
      <w:r>
        <w:rPr>
          <w:color w:val="475569"/>
          <w:sz w:val="19"/>
        </w:rPr>
        <w:br/>
        <w:t xml:space="preserve">   Tabulación, edición de notas, desempates y podio</w:t>
      </w:r>
    </w:p>
    <w:p>
      <w:pPr>
        <w:spacing w:before="60" w:after="60"/>
      </w:pPr>
      <w:r>
        <w:rPr>
          <w:b/>
          <w:color w:val="0284C7"/>
          <w:sz w:val="21"/>
        </w:rPr>
        <w:t>• 7. PROTOCOLO DE DESEMPATES Y ATRIBUCIONES EXCLUSIVAS</w:t>
      </w:r>
      <w:r>
        <w:rPr>
          <w:color w:val="475569"/>
          <w:sz w:val="19"/>
        </w:rPr>
        <w:br/>
        <w:t xml:space="preserve">   Criterios técnicos y registro de actas oficiales</w:t>
      </w:r>
    </w:p>
    <w:p>
      <w:pPr>
        <w:spacing w:before="60" w:after="60"/>
      </w:pPr>
      <w:r>
        <w:rPr>
          <w:b/>
          <w:color w:val="0284C7"/>
          <w:sz w:val="21"/>
        </w:rPr>
        <w:t>• 8. PREGUNTAS FRECUENTES Y SOPORTE TÉCNICO</w:t>
      </w:r>
      <w:r>
        <w:rPr>
          <w:color w:val="475569"/>
          <w:sz w:val="19"/>
        </w:rPr>
        <w:br/>
        <w:t xml:space="preserve">   Manejo de contingencias y recomendaciones</w:t>
      </w:r>
    </w:p>
    <w:p>
      <w:r>
        <w:br w:type="page"/>
      </w:r>
    </w:p>
    <w:p>
      <w:pPr>
        <w:spacing w:after="160"/>
      </w:pPr>
      <w:r>
        <w:rPr>
          <w:rFonts w:ascii="Arial" w:hAnsi="Arial"/>
          <w:b/>
          <w:color w:val="0F172A"/>
          <w:sz w:val="30"/>
        </w:rPr>
        <w:t>1. INTRODUCCIÓN Y OBJETIVOS DEL SISTEMA</w:t>
      </w:r>
    </w:p>
    <w:p>
      <w:r>
        <w:t>El presente manual constituye la guía oficial para el uso del Sistema Web de Calificación y Tabulación en Tiempo Real, desarrollado para el IV Concurso de Proyectos de Innovación y Emprendimiento 2026 organizado por el Centro de Educación Alternativa (CEA) «Prof. Herman Ortiz Camargo», en la localidad de Pailón, departamento de Santa Cruz, Bolivia.</w:t>
      </w:r>
    </w:p>
    <w:p>
      <w:r>
        <w:t>El objetivo principal de la plataforma es sustituir la tabulación manual en planillas de papel por un entorno digital seguro, transparente, ágil y de alta precisión matemática, garantizando que tanto los participantes como la comunidad educativa puedan presenciar la evolución de las notas de forma inmediata mientras los miembros del jurado realizan sus visitas técnicas a los stands.</w:t>
      </w:r>
    </w:p>
    <w:tbl>
      <w:tblPr>
        <w:tblW w:type="auto" w:w="0"/>
        <w:jc w:val="center"/>
        <w:tblLook w:firstColumn="1" w:firstRow="1" w:lastColumn="0" w:lastRow="0" w:noHBand="0" w:noVBand="1" w:val="04A0"/>
      </w:tblPr>
      <w:tblGrid>
        <w:gridCol w:w="9648"/>
      </w:tblGrid>
      <w:tr>
        <w:tc>
          <w:tcPr>
            <w:tcW w:type="dxa" w:w="9648"/>
            <w:shd w:fill="F0F9FF"/>
            <w:tcMar>
              <w:top w:w="140" w:type="dxa"/>
              <w:bottom w:w="140" w:type="dxa"/>
              <w:left w:w="220" w:type="dxa"/>
              <w:right w:w="200" w:type="dxa"/>
            </w:tcMar>
            <w:tcBorders>
              <w:left w:val="single" w:sz="24" w:space="0" w:color="0284C7"/>
              <w:top w:val="none"/>
              <w:bottom w:val="none"/>
              <w:right w:val="none"/>
            </w:tcBorders>
          </w:tcPr>
          <w:p>
            <w:pPr>
              <w:spacing w:before="0" w:after="40"/>
            </w:pPr>
            <w:r>
              <w:rPr>
                <w:rFonts w:ascii="Calibri" w:hAnsi="Calibri"/>
                <w:b/>
                <w:color w:val="0284C7"/>
                <w:sz w:val="20"/>
              </w:rPr>
              <w:t xml:space="preserve">📌 CARACTERÍSTICA DESTACADA: </w:t>
            </w:r>
            <w:r>
              <w:rPr>
                <w:rFonts w:ascii="Calibri" w:hAnsi="Calibri"/>
                <w:color w:val="334155"/>
                <w:sz w:val="19"/>
              </w:rPr>
              <w:t>El sistema no requiere instalación en los dispositivos de los usuarios. Funciona de manera 100% responsiva directamente desde cualquier navegador web (Google Chrome, Microsoft Edge, Safari, Firefox) en computadoras portátiles, tablets o teléfonos inteligentes de jurados y visitantes.</w:t>
            </w:r>
          </w:p>
        </w:tc>
      </w:tr>
    </w:tbl>
    <w:p>
      <w:pPr>
        <w:spacing w:before="0" w:after="80"/>
      </w:pPr>
    </w:p>
    <w:p>
      <w:pPr>
        <w:spacing w:before="160" w:after="80"/>
      </w:pPr>
      <w:r>
        <w:rPr>
          <w:rFonts w:ascii="Arial" w:hAnsi="Arial"/>
          <w:b/>
          <w:color w:val="0284C7"/>
          <w:sz w:val="24"/>
        </w:rPr>
        <w:t>1.1 Pilares Fundamentales de la Plataforma</w:t>
      </w:r>
    </w:p>
    <w:p>
      <w:pPr>
        <w:spacing w:before="40" w:after="80"/>
      </w:pPr>
      <w:r>
        <w:rPr>
          <w:b/>
          <w:color w:val="0F172A"/>
        </w:rPr>
        <w:t xml:space="preserve">✔ Transparencia Pública: </w:t>
      </w:r>
      <w:r>
        <w:rPr>
          <w:color w:val="1E293B"/>
        </w:rPr>
        <w:t>Cualquier persona puede ingresar libremente y visualizar la Nota Centralizada en vivo de cada stand, así como consultar la hoja oficial y los puntajes desglosados de cada uno de los 3 jurados.</w:t>
      </w:r>
    </w:p>
    <w:p>
      <w:pPr>
        <w:spacing w:before="40" w:after="80"/>
      </w:pPr>
      <w:r>
        <w:rPr>
          <w:b/>
          <w:color w:val="0F172A"/>
        </w:rPr>
        <w:t xml:space="preserve">✔ Réplica Exacta de la Hoja Física Oficial: </w:t>
      </w:r>
      <w:r>
        <w:rPr>
          <w:color w:val="1E293B"/>
        </w:rPr>
        <w:t>El formulario digital de evaluación de los jurados reproduce con total fidelidad el formato oficial del concurso (los 4 criterios de 25 puntos, íconos representativos, cajas de puntaje, observaciones, firma y lema institucional).</w:t>
      </w:r>
    </w:p>
    <w:p>
      <w:pPr>
        <w:spacing w:before="40" w:after="80"/>
      </w:pPr>
      <w:r>
        <w:rPr>
          <w:b/>
          <w:color w:val="0F172A"/>
        </w:rPr>
        <w:t xml:space="preserve">✔ Tabulación y Cálculos Matemáticos Automáticos: </w:t>
      </w:r>
      <w:r>
        <w:rPr>
          <w:color w:val="1E293B"/>
        </w:rPr>
        <w:t>Elimina cualquier margen de error humano en sumatorias o promedios. El puntaje total sobre 100 puntos y el promedio centralizado se computan de manera automática al instante.</w:t>
      </w:r>
    </w:p>
    <w:p>
      <w:pPr>
        <w:spacing w:before="40" w:after="80"/>
      </w:pPr>
      <w:r>
        <w:rPr>
          <w:b/>
          <w:color w:val="0F172A"/>
        </w:rPr>
        <w:t xml:space="preserve">✔ Autoridad Centralizada y Desempates: </w:t>
      </w:r>
      <w:r>
        <w:rPr>
          <w:color w:val="1E293B"/>
        </w:rPr>
        <w:t>El Administrador General cuenta con herramientas exclusivas para auditar las calificaciones, modificar o corregir registros ante eventualidades, dirimir empates de forma justificada y publicar el podio final de premiación.</w:t>
      </w:r>
    </w:p>
    <w:p>
      <w:pPr>
        <w:spacing w:before="280" w:after="160"/>
      </w:pPr>
      <w:r>
        <w:rPr>
          <w:rFonts w:ascii="Arial" w:hAnsi="Arial"/>
          <w:b/>
          <w:color w:val="0F172A"/>
          <w:sz w:val="30"/>
        </w:rPr>
        <w:t>2. ESTRUCTURA DE ROLES Y CREDENCIALES DE ACCESO</w:t>
      </w:r>
    </w:p>
    <w:p>
      <w:r>
        <w:t>Por estrictas razones de seguridad, integridad institucional y confidencialidad solicitadas para el concurso, la pantalla de Login no muestra usuarios ni contraseñas sugeridas. Cada credencial es de asignación personal y reservada.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12"/>
        <w:gridCol w:w="2412"/>
        <w:gridCol w:w="2412"/>
        <w:gridCol w:w="2412"/>
      </w:tblGrid>
      <w:tr>
        <w:tc>
          <w:tcPr>
            <w:tcW w:type="dxa" w:w="2592"/>
            <w:shd w:fill="0F172A"/>
            <w:tcMar>
              <w:top w:w="100" w:type="dxa"/>
              <w:bottom w:w="100" w:type="dxa"/>
              <w:left w:w="100" w:type="dxa"/>
              <w:right w:w="100" w:type="dxa"/>
            </w:tcMar>
          </w:tcPr>
          <w:p>
            <w:r>
              <w:rPr>
                <w:b/>
                <w:color w:val="FFFFFF"/>
                <w:sz w:val="19"/>
              </w:rPr>
              <w:t>Rol / Perfil</w:t>
            </w:r>
          </w:p>
        </w:tc>
        <w:tc>
          <w:tcPr>
            <w:tcW w:type="dxa" w:w="1728"/>
            <w:shd w:fill="0F172A"/>
            <w:tcMar>
              <w:top w:w="100" w:type="dxa"/>
              <w:bottom w:w="100" w:type="dxa"/>
              <w:left w:w="100" w:type="dxa"/>
              <w:right w:w="100" w:type="dxa"/>
            </w:tcMar>
          </w:tcPr>
          <w:p>
            <w:r>
              <w:rPr>
                <w:b/>
                <w:color w:val="FFFFFF"/>
                <w:sz w:val="19"/>
              </w:rPr>
              <w:t>Usuario</w:t>
            </w:r>
          </w:p>
        </w:tc>
        <w:tc>
          <w:tcPr>
            <w:tcW w:type="dxa" w:w="1728"/>
            <w:shd w:fill="0F172A"/>
            <w:tcMar>
              <w:top w:w="100" w:type="dxa"/>
              <w:bottom w:w="100" w:type="dxa"/>
              <w:left w:w="100" w:type="dxa"/>
              <w:right w:w="100" w:type="dxa"/>
            </w:tcMar>
          </w:tcPr>
          <w:p>
            <w:r>
              <w:rPr>
                <w:b/>
                <w:color w:val="FFFFFF"/>
                <w:sz w:val="19"/>
              </w:rPr>
              <w:t>Contraseña</w:t>
            </w:r>
          </w:p>
        </w:tc>
        <w:tc>
          <w:tcPr>
            <w:tcW w:type="dxa" w:w="3600"/>
            <w:shd w:fill="0F172A"/>
            <w:tcMar>
              <w:top w:w="100" w:type="dxa"/>
              <w:bottom w:w="100" w:type="dxa"/>
              <w:left w:w="100" w:type="dxa"/>
              <w:right w:w="100" w:type="dxa"/>
            </w:tcMar>
          </w:tcPr>
          <w:p>
            <w:r>
              <w:rPr>
                <w:b/>
                <w:color w:val="FFFFFF"/>
                <w:sz w:val="19"/>
              </w:rPr>
              <w:t>Alcance y Atribuciones</w:t>
            </w:r>
          </w:p>
        </w:tc>
      </w:tr>
      <w:tr>
        <w:tc>
          <w:tcPr>
            <w:tcW w:type="dxa" w:w="2592"/>
            <w:shd w:fill="F8FAFC"/>
            <w:tcMar>
              <w:top w:w="80" w:type="dxa"/>
              <w:bottom w:w="80" w:type="dxa"/>
              <w:left w:w="100" w:type="dxa"/>
              <w:right w:w="100" w:type="dxa"/>
            </w:tcMar>
          </w:tcPr>
          <w:p>
            <w:r>
              <w:rPr>
                <w:b/>
                <w:color w:val="0F172A"/>
                <w:sz w:val="18"/>
              </w:rPr>
              <w:t>Público General / Estudiantes</w:t>
            </w:r>
          </w:p>
        </w:tc>
        <w:tc>
          <w:tcPr>
            <w:tcW w:type="dxa" w:w="1728"/>
            <w:shd w:fill="F8FAFC"/>
            <w:tcMar>
              <w:top w:w="80" w:type="dxa"/>
              <w:bottom w:w="80" w:type="dxa"/>
              <w:left w:w="100" w:type="dxa"/>
              <w:right w:w="100" w:type="dxa"/>
            </w:tcMar>
          </w:tcPr>
          <w:p>
            <w:r>
              <w:rPr>
                <w:b/>
                <w:color w:val="0284C7"/>
                <w:sz w:val="18"/>
              </w:rPr>
              <w:t>Sin usuario</w:t>
            </w:r>
          </w:p>
        </w:tc>
        <w:tc>
          <w:tcPr>
            <w:tcW w:type="dxa" w:w="1728"/>
            <w:shd w:fill="F8FAFC"/>
            <w:tcMar>
              <w:top w:w="80" w:type="dxa"/>
              <w:bottom w:w="80" w:type="dxa"/>
              <w:left w:w="100" w:type="dxa"/>
              <w:right w:w="100" w:type="dxa"/>
            </w:tcMar>
          </w:tcPr>
          <w:p>
            <w:r>
              <w:rPr>
                <w:b/>
                <w:color w:val="0284C7"/>
                <w:sz w:val="18"/>
              </w:rPr>
              <w:t>Sin clave</w:t>
            </w:r>
          </w:p>
        </w:tc>
        <w:tc>
          <w:tcPr>
            <w:tcW w:type="dxa" w:w="3600"/>
            <w:shd w:fill="F8FAFC"/>
            <w:tcMar>
              <w:top w:w="80" w:type="dxa"/>
              <w:bottom w:w="80" w:type="dxa"/>
              <w:left w:w="100" w:type="dxa"/>
              <w:right w:w="100" w:type="dxa"/>
            </w:tcMar>
          </w:tcPr>
          <w:p>
            <w:r>
              <w:rPr>
                <w:color w:val="1E293B"/>
                <w:sz w:val="18"/>
              </w:rPr>
              <w:t>Acceso libre e irrestricto. Consulta de los 7 stands, notas centralizadas en vivo, hojas de jurados en modo lectura y podio publicado.</w:t>
            </w:r>
          </w:p>
        </w:tc>
      </w:tr>
      <w:tr>
        <w:tc>
          <w:tcPr>
            <w:tcW w:type="dxa" w:w="2592"/>
            <w:shd w:fill="FFFFFF"/>
            <w:tcMar>
              <w:top w:w="80" w:type="dxa"/>
              <w:bottom w:w="80" w:type="dxa"/>
              <w:left w:w="100" w:type="dxa"/>
              <w:right w:w="100" w:type="dxa"/>
            </w:tcMar>
          </w:tcPr>
          <w:p>
            <w:r>
              <w:rPr>
                <w:b/>
                <w:color w:val="0F172A"/>
                <w:sz w:val="18"/>
              </w:rPr>
              <w:t>Jurado Calificador 1</w:t>
            </w:r>
          </w:p>
        </w:tc>
        <w:tc>
          <w:tcPr>
            <w:tcW w:type="dxa" w:w="1728"/>
            <w:shd w:fill="FFFFFF"/>
            <w:tcMar>
              <w:top w:w="80" w:type="dxa"/>
              <w:bottom w:w="80" w:type="dxa"/>
              <w:left w:w="100" w:type="dxa"/>
              <w:right w:w="100" w:type="dxa"/>
            </w:tcMar>
          </w:tcPr>
          <w:p>
            <w:r>
              <w:rPr>
                <w:b/>
                <w:color w:val="0284C7"/>
                <w:sz w:val="18"/>
              </w:rPr>
              <w:t>jurado1</w:t>
            </w:r>
          </w:p>
        </w:tc>
        <w:tc>
          <w:tcPr>
            <w:tcW w:type="dxa" w:w="1728"/>
            <w:shd w:fill="FFFFFF"/>
            <w:tcMar>
              <w:top w:w="80" w:type="dxa"/>
              <w:bottom w:w="80" w:type="dxa"/>
              <w:left w:w="100" w:type="dxa"/>
              <w:right w:w="100" w:type="dxa"/>
            </w:tcMar>
          </w:tcPr>
          <w:p>
            <w:r>
              <w:rPr>
                <w:b/>
                <w:color w:val="0284C7"/>
                <w:sz w:val="18"/>
              </w:rPr>
              <w:t>sistemas1</w:t>
            </w:r>
          </w:p>
        </w:tc>
        <w:tc>
          <w:tcPr>
            <w:tcW w:type="dxa" w:w="3600"/>
            <w:shd w:fill="FFFFFF"/>
            <w:tcMar>
              <w:top w:w="80" w:type="dxa"/>
              <w:bottom w:w="80" w:type="dxa"/>
              <w:left w:w="100" w:type="dxa"/>
              <w:right w:w="100" w:type="dxa"/>
            </w:tcMar>
          </w:tcPr>
          <w:p>
            <w:r>
              <w:rPr>
                <w:color w:val="1E293B"/>
                <w:sz w:val="18"/>
              </w:rPr>
              <w:t>Evaluación oficial de los Stands 1 al 7. Califica los 4 criterios (0 a 25 pts), observaciones y guarda su hoja con firma digital.</w:t>
            </w:r>
          </w:p>
        </w:tc>
      </w:tr>
      <w:tr>
        <w:tc>
          <w:tcPr>
            <w:tcW w:type="dxa" w:w="2592"/>
            <w:shd w:fill="F8FAFC"/>
            <w:tcMar>
              <w:top w:w="80" w:type="dxa"/>
              <w:bottom w:w="80" w:type="dxa"/>
              <w:left w:w="100" w:type="dxa"/>
              <w:right w:w="100" w:type="dxa"/>
            </w:tcMar>
          </w:tcPr>
          <w:p>
            <w:r>
              <w:rPr>
                <w:b/>
                <w:color w:val="0F172A"/>
                <w:sz w:val="18"/>
              </w:rPr>
              <w:t>Jurado Calificador 2</w:t>
            </w:r>
          </w:p>
        </w:tc>
        <w:tc>
          <w:tcPr>
            <w:tcW w:type="dxa" w:w="1728"/>
            <w:shd w:fill="F8FAFC"/>
            <w:tcMar>
              <w:top w:w="80" w:type="dxa"/>
              <w:bottom w:w="80" w:type="dxa"/>
              <w:left w:w="100" w:type="dxa"/>
              <w:right w:w="100" w:type="dxa"/>
            </w:tcMar>
          </w:tcPr>
          <w:p>
            <w:r>
              <w:rPr>
                <w:b/>
                <w:color w:val="0284C7"/>
                <w:sz w:val="18"/>
              </w:rPr>
              <w:t>jurado2</w:t>
            </w:r>
          </w:p>
        </w:tc>
        <w:tc>
          <w:tcPr>
            <w:tcW w:type="dxa" w:w="1728"/>
            <w:shd w:fill="F8FAFC"/>
            <w:tcMar>
              <w:top w:w="80" w:type="dxa"/>
              <w:bottom w:w="80" w:type="dxa"/>
              <w:left w:w="100" w:type="dxa"/>
              <w:right w:w="100" w:type="dxa"/>
            </w:tcMar>
          </w:tcPr>
          <w:p>
            <w:r>
              <w:rPr>
                <w:b/>
                <w:color w:val="0284C7"/>
                <w:sz w:val="18"/>
              </w:rPr>
              <w:t>sistemas2</w:t>
            </w:r>
          </w:p>
        </w:tc>
        <w:tc>
          <w:tcPr>
            <w:tcW w:type="dxa" w:w="3600"/>
            <w:shd w:fill="F8FAFC"/>
            <w:tcMar>
              <w:top w:w="80" w:type="dxa"/>
              <w:bottom w:w="80" w:type="dxa"/>
              <w:left w:w="100" w:type="dxa"/>
              <w:right w:w="100" w:type="dxa"/>
            </w:tcMar>
          </w:tcPr>
          <w:p>
            <w:r>
              <w:rPr>
                <w:color w:val="1E293B"/>
                <w:sz w:val="18"/>
              </w:rPr>
              <w:t>Evaluación oficial de los Stands 1 al 7. Mismas atribuciones de calificación independiente para Jurado 2.</w:t>
            </w:r>
          </w:p>
        </w:tc>
      </w:tr>
      <w:tr>
        <w:tc>
          <w:tcPr>
            <w:tcW w:type="dxa" w:w="2592"/>
            <w:shd w:fill="FFFFFF"/>
            <w:tcMar>
              <w:top w:w="80" w:type="dxa"/>
              <w:bottom w:w="80" w:type="dxa"/>
              <w:left w:w="100" w:type="dxa"/>
              <w:right w:w="100" w:type="dxa"/>
            </w:tcMar>
          </w:tcPr>
          <w:p>
            <w:r>
              <w:rPr>
                <w:b/>
                <w:color w:val="0F172A"/>
                <w:sz w:val="18"/>
              </w:rPr>
              <w:t>Jurado Calificador 3</w:t>
            </w:r>
          </w:p>
        </w:tc>
        <w:tc>
          <w:tcPr>
            <w:tcW w:type="dxa" w:w="1728"/>
            <w:shd w:fill="FFFFFF"/>
            <w:tcMar>
              <w:top w:w="80" w:type="dxa"/>
              <w:bottom w:w="80" w:type="dxa"/>
              <w:left w:w="100" w:type="dxa"/>
              <w:right w:w="100" w:type="dxa"/>
            </w:tcMar>
          </w:tcPr>
          <w:p>
            <w:r>
              <w:rPr>
                <w:b/>
                <w:color w:val="0284C7"/>
                <w:sz w:val="18"/>
              </w:rPr>
              <w:t>jurado3</w:t>
            </w:r>
          </w:p>
        </w:tc>
        <w:tc>
          <w:tcPr>
            <w:tcW w:type="dxa" w:w="1728"/>
            <w:shd w:fill="FFFFFF"/>
            <w:tcMar>
              <w:top w:w="80" w:type="dxa"/>
              <w:bottom w:w="80" w:type="dxa"/>
              <w:left w:w="100" w:type="dxa"/>
              <w:right w:w="100" w:type="dxa"/>
            </w:tcMar>
          </w:tcPr>
          <w:p>
            <w:r>
              <w:rPr>
                <w:b/>
                <w:color w:val="0284C7"/>
                <w:sz w:val="18"/>
              </w:rPr>
              <w:t>sistemas3</w:t>
            </w:r>
          </w:p>
        </w:tc>
        <w:tc>
          <w:tcPr>
            <w:tcW w:type="dxa" w:w="3600"/>
            <w:shd w:fill="FFFFFF"/>
            <w:tcMar>
              <w:top w:w="80" w:type="dxa"/>
              <w:bottom w:w="80" w:type="dxa"/>
              <w:left w:w="100" w:type="dxa"/>
              <w:right w:w="100" w:type="dxa"/>
            </w:tcMar>
          </w:tcPr>
          <w:p>
            <w:r>
              <w:rPr>
                <w:color w:val="1E293B"/>
                <w:sz w:val="18"/>
              </w:rPr>
              <w:t>Evaluación oficial de los Stands 1 al 7. Mismas atribuciones de calificación independiente para Jurado 3.</w:t>
            </w:r>
          </w:p>
        </w:tc>
      </w:tr>
      <w:tr>
        <w:tc>
          <w:tcPr>
            <w:tcW w:type="dxa" w:w="2592"/>
            <w:shd w:fill="F8FAFC"/>
            <w:tcMar>
              <w:top w:w="80" w:type="dxa"/>
              <w:bottom w:w="80" w:type="dxa"/>
              <w:left w:w="100" w:type="dxa"/>
              <w:right w:w="100" w:type="dxa"/>
            </w:tcMar>
          </w:tcPr>
          <w:p>
            <w:r>
              <w:rPr>
                <w:b/>
                <w:color w:val="0F172A"/>
                <w:sz w:val="18"/>
              </w:rPr>
              <w:t>Administrador General</w:t>
            </w:r>
          </w:p>
        </w:tc>
        <w:tc>
          <w:tcPr>
            <w:tcW w:type="dxa" w:w="1728"/>
            <w:shd w:fill="F8FAFC"/>
            <w:tcMar>
              <w:top w:w="80" w:type="dxa"/>
              <w:bottom w:w="80" w:type="dxa"/>
              <w:left w:w="100" w:type="dxa"/>
              <w:right w:w="100" w:type="dxa"/>
            </w:tcMar>
          </w:tcPr>
          <w:p>
            <w:r>
              <w:rPr>
                <w:b/>
                <w:color w:val="0284C7"/>
                <w:sz w:val="18"/>
              </w:rPr>
              <w:t>admin</w:t>
            </w:r>
          </w:p>
        </w:tc>
        <w:tc>
          <w:tcPr>
            <w:tcW w:type="dxa" w:w="1728"/>
            <w:shd w:fill="F8FAFC"/>
            <w:tcMar>
              <w:top w:w="80" w:type="dxa"/>
              <w:bottom w:w="80" w:type="dxa"/>
              <w:left w:w="100" w:type="dxa"/>
              <w:right w:w="100" w:type="dxa"/>
            </w:tcMar>
          </w:tcPr>
          <w:p>
            <w:r>
              <w:rPr>
                <w:b/>
                <w:color w:val="0284C7"/>
                <w:sz w:val="18"/>
              </w:rPr>
              <w:t>sistemas</w:t>
            </w:r>
          </w:p>
        </w:tc>
        <w:tc>
          <w:tcPr>
            <w:tcW w:type="dxa" w:w="3600"/>
            <w:shd w:fill="F8FAFC"/>
            <w:tcMar>
              <w:top w:w="80" w:type="dxa"/>
              <w:bottom w:w="80" w:type="dxa"/>
              <w:left w:w="100" w:type="dxa"/>
              <w:right w:w="100" w:type="dxa"/>
            </w:tcMar>
          </w:tcPr>
          <w:p>
            <w:r>
              <w:rPr>
                <w:color w:val="1E293B"/>
                <w:sz w:val="18"/>
              </w:rPr>
              <w:t>Control maestro del concurso: Matriz consolidada de 21 evaluaciones, edición y corrección de notas, resolución oficial de desempates, publicación y exportación.</w:t>
            </w:r>
          </w:p>
        </w:tc>
      </w:tr>
    </w:tbl>
    <w:p>
      <w:pPr>
        <w:spacing w:before="120"/>
      </w:pPr>
    </w:p>
    <w:tbl>
      <w:tblPr>
        <w:tblW w:type="auto" w:w="0"/>
        <w:jc w:val="center"/>
        <w:tblLook w:firstColumn="1" w:firstRow="1" w:lastColumn="0" w:lastRow="0" w:noHBand="0" w:noVBand="1" w:val="04A0"/>
      </w:tblPr>
      <w:tblGrid>
        <w:gridCol w:w="9648"/>
      </w:tblGrid>
      <w:tr>
        <w:tc>
          <w:tcPr>
            <w:tcW w:type="dxa" w:w="9648"/>
            <w:shd w:fill="FFFBEB"/>
            <w:tcMar>
              <w:top w:w="140" w:type="dxa"/>
              <w:bottom w:w="140" w:type="dxa"/>
              <w:left w:w="220" w:type="dxa"/>
              <w:right w:w="200" w:type="dxa"/>
            </w:tcMar>
            <w:tcBorders>
              <w:left w:val="single" w:sz="24" w:space="0" w:color="D97706"/>
              <w:top w:val="none"/>
              <w:bottom w:val="none"/>
              <w:right w:val="none"/>
            </w:tcBorders>
          </w:tcPr>
          <w:p>
            <w:pPr>
              <w:spacing w:before="0" w:after="40"/>
            </w:pPr>
            <w:r>
              <w:rPr>
                <w:rFonts w:ascii="Calibri" w:hAnsi="Calibri"/>
                <w:b/>
                <w:color w:val="D97706"/>
                <w:sz w:val="20"/>
              </w:rPr>
              <w:t xml:space="preserve">📌 POLÍTICA DE CONFIDENCIALIDAD: </w:t>
            </w:r>
            <w:r>
              <w:rPr>
                <w:rFonts w:ascii="Calibri" w:hAnsi="Calibri"/>
                <w:color w:val="334155"/>
                <w:sz w:val="19"/>
              </w:rPr>
              <w:t>La comisión organizadora del CEA entrega las credenciales de forma personal a cada jurado. Si un jurado cierra sesión o refresca la pantalla, sus calificaciones previas quedan totalmente aseguradas en el sistema sin pérdida de información.</w:t>
            </w:r>
          </w:p>
        </w:tc>
      </w:tr>
    </w:tbl>
    <w:p>
      <w:pPr>
        <w:spacing w:before="0" w:after="80"/>
      </w:pPr>
    </w:p>
    <w:p>
      <w:r>
        <w:br w:type="page"/>
      </w:r>
    </w:p>
    <w:p>
      <w:pPr>
        <w:spacing w:before="120" w:after="160"/>
      </w:pPr>
      <w:r>
        <w:rPr>
          <w:rFonts w:ascii="Arial" w:hAnsi="Arial"/>
          <w:b/>
          <w:color w:val="0F172A"/>
          <w:sz w:val="30"/>
        </w:rPr>
        <w:t>3. CATÁLOGO OFICIAL DE LOS 7 STANDS PARTICIPANTES</w:t>
      </w:r>
    </w:p>
    <w:p>
      <w:r>
        <w:t>El concurso cuenta con 7 proyectos evaluados, correspondientes a las modalidades de Innovación Tecnológica y Emprendimiento Productivo diseñados por los estudiantes de la Carrera de Sistemas Informáticos: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12"/>
        <w:gridCol w:w="2412"/>
        <w:gridCol w:w="2412"/>
        <w:gridCol w:w="2412"/>
      </w:tblGrid>
      <w:tr>
        <w:tc>
          <w:tcPr>
            <w:tcW w:type="dxa" w:w="1152"/>
            <w:shd w:fill="0F172A"/>
            <w:tcMar>
              <w:top w:w="100" w:type="dxa"/>
              <w:bottom w:w="100" w:type="dxa"/>
              <w:left w:w="100" w:type="dxa"/>
              <w:right w:w="100" w:type="dxa"/>
            </w:tcMar>
          </w:tcPr>
          <w:p>
            <w:r>
              <w:rPr>
                <w:b/>
                <w:color w:val="FFFFFF"/>
                <w:sz w:val="19"/>
              </w:rPr>
              <w:t>Stand</w:t>
            </w:r>
          </w:p>
        </w:tc>
        <w:tc>
          <w:tcPr>
            <w:tcW w:type="dxa" w:w="3168"/>
            <w:shd w:fill="0F172A"/>
            <w:tcMar>
              <w:top w:w="100" w:type="dxa"/>
              <w:bottom w:w="100" w:type="dxa"/>
              <w:left w:w="100" w:type="dxa"/>
              <w:right w:w="100" w:type="dxa"/>
            </w:tcMar>
          </w:tcPr>
          <w:p>
            <w:r>
              <w:rPr>
                <w:b/>
                <w:color w:val="FFFFFF"/>
                <w:sz w:val="19"/>
              </w:rPr>
              <w:t>Nombre del Proyecto</w:t>
            </w:r>
          </w:p>
        </w:tc>
        <w:tc>
          <w:tcPr>
            <w:tcW w:type="dxa" w:w="1872"/>
            <w:shd w:fill="0F172A"/>
            <w:tcMar>
              <w:top w:w="100" w:type="dxa"/>
              <w:bottom w:w="100" w:type="dxa"/>
              <w:left w:w="100" w:type="dxa"/>
              <w:right w:w="100" w:type="dxa"/>
            </w:tcMar>
          </w:tcPr>
          <w:p>
            <w:r>
              <w:rPr>
                <w:b/>
                <w:color w:val="FFFFFF"/>
                <w:sz w:val="19"/>
              </w:rPr>
              <w:t>Modalidad</w:t>
            </w:r>
          </w:p>
        </w:tc>
        <w:tc>
          <w:tcPr>
            <w:tcW w:type="dxa" w:w="3456"/>
            <w:shd w:fill="0F172A"/>
            <w:tcMar>
              <w:top w:w="100" w:type="dxa"/>
              <w:bottom w:w="100" w:type="dxa"/>
              <w:left w:w="100" w:type="dxa"/>
              <w:right w:w="100" w:type="dxa"/>
            </w:tcMar>
          </w:tcPr>
          <w:p>
            <w:r>
              <w:rPr>
                <w:b/>
                <w:color w:val="FFFFFF"/>
                <w:sz w:val="19"/>
              </w:rPr>
              <w:t>Descripción y Enfoque</w:t>
            </w:r>
          </w:p>
        </w:tc>
      </w:tr>
      <w:tr>
        <w:tc>
          <w:tcPr>
            <w:tcW w:type="dxa" w:w="1152"/>
            <w:shd w:fill="F8FAFC"/>
            <w:tcMar>
              <w:top w:w="80" w:type="dxa"/>
              <w:bottom w:w="80" w:type="dxa"/>
              <w:left w:w="100" w:type="dxa"/>
              <w:right w:w="100" w:type="dxa"/>
            </w:tcMar>
          </w:tcPr>
          <w:p>
            <w:pPr>
              <w:jc w:val="center"/>
            </w:pPr>
            <w:r>
              <w:rPr>
                <w:b/>
                <w:color w:val="0284C7"/>
                <w:sz w:val="18"/>
              </w:rPr>
              <w:t>#1</w:t>
            </w:r>
          </w:p>
        </w:tc>
        <w:tc>
          <w:tcPr>
            <w:tcW w:type="dxa" w:w="3168"/>
            <w:shd w:fill="F8FAFC"/>
            <w:tcMar>
              <w:top w:w="80" w:type="dxa"/>
              <w:bottom w:w="80" w:type="dxa"/>
              <w:left w:w="100" w:type="dxa"/>
              <w:right w:w="100" w:type="dxa"/>
            </w:tcMar>
          </w:tcPr>
          <w:p>
            <w:r>
              <w:rPr>
                <w:b/>
                <w:color w:val="0F172A"/>
                <w:sz w:val="18"/>
              </w:rPr>
              <w:t>PC-MASTER SERVICE PAILON</w:t>
            </w:r>
          </w:p>
        </w:tc>
        <w:tc>
          <w:tcPr>
            <w:tcW w:type="dxa" w:w="1872"/>
            <w:shd w:fill="F8FAFC"/>
            <w:tcMar>
              <w:top w:w="80" w:type="dxa"/>
              <w:bottom w:w="80" w:type="dxa"/>
              <w:left w:w="100" w:type="dxa"/>
              <w:right w:w="100" w:type="dxa"/>
            </w:tcMar>
          </w:tcPr>
          <w:p>
            <w:r>
              <w:rPr>
                <w:b/>
                <w:color w:val="D97706"/>
                <w:sz w:val="18"/>
              </w:rPr>
              <w:t>Emprendimiento</w:t>
            </w:r>
          </w:p>
        </w:tc>
        <w:tc>
          <w:tcPr>
            <w:tcW w:type="dxa" w:w="3456"/>
            <w:shd w:fill="F8FAFC"/>
            <w:tcMar>
              <w:top w:w="80" w:type="dxa"/>
              <w:bottom w:w="80" w:type="dxa"/>
              <w:left w:w="100" w:type="dxa"/>
              <w:right w:w="100" w:type="dxa"/>
            </w:tcMar>
          </w:tcPr>
          <w:p>
            <w:r>
              <w:rPr>
                <w:color w:val="1E293B"/>
                <w:sz w:val="18"/>
              </w:rPr>
              <w:t>Servicio técnico integral de mantenimiento, reparación y ensamblado de computadoras con venta de suministros.</w:t>
            </w:r>
          </w:p>
        </w:tc>
      </w:tr>
      <w:tr>
        <w:tc>
          <w:tcPr>
            <w:tcW w:type="dxa" w:w="1152"/>
            <w:shd w:fill="FFFFFF"/>
            <w:tcMar>
              <w:top w:w="80" w:type="dxa"/>
              <w:bottom w:w="80" w:type="dxa"/>
              <w:left w:w="100" w:type="dxa"/>
              <w:right w:w="100" w:type="dxa"/>
            </w:tcMar>
          </w:tcPr>
          <w:p>
            <w:pPr>
              <w:jc w:val="center"/>
            </w:pPr>
            <w:r>
              <w:rPr>
                <w:b/>
                <w:color w:val="0284C7"/>
                <w:sz w:val="18"/>
              </w:rPr>
              <w:t>#2</w:t>
            </w:r>
          </w:p>
        </w:tc>
        <w:tc>
          <w:tcPr>
            <w:tcW w:type="dxa" w:w="3168"/>
            <w:shd w:fill="FFFFFF"/>
            <w:tcMar>
              <w:top w:w="80" w:type="dxa"/>
              <w:bottom w:w="80" w:type="dxa"/>
              <w:left w:w="100" w:type="dxa"/>
              <w:right w:w="100" w:type="dxa"/>
            </w:tcMar>
          </w:tcPr>
          <w:p>
            <w:r>
              <w:rPr>
                <w:b/>
                <w:color w:val="0F172A"/>
                <w:sz w:val="18"/>
              </w:rPr>
              <w:t>SISTEMA DE CONTROL Y AUTOMATIZACIÓN DE PEDIDOS PARA EMPRESAS DE REPARTO</w:t>
            </w:r>
          </w:p>
        </w:tc>
        <w:tc>
          <w:tcPr>
            <w:tcW w:type="dxa" w:w="1872"/>
            <w:shd w:fill="FFFFFF"/>
            <w:tcMar>
              <w:top w:w="80" w:type="dxa"/>
              <w:bottom w:w="80" w:type="dxa"/>
              <w:left w:w="100" w:type="dxa"/>
              <w:right w:w="100" w:type="dxa"/>
            </w:tcMar>
          </w:tcPr>
          <w:p>
            <w:r>
              <w:rPr>
                <w:b/>
                <w:color w:val="D97706"/>
                <w:sz w:val="18"/>
              </w:rPr>
              <w:t>Innovación</w:t>
            </w:r>
          </w:p>
        </w:tc>
        <w:tc>
          <w:tcPr>
            <w:tcW w:type="dxa" w:w="3456"/>
            <w:shd w:fill="FFFFFF"/>
            <w:tcMar>
              <w:top w:w="80" w:type="dxa"/>
              <w:bottom w:w="80" w:type="dxa"/>
              <w:left w:w="100" w:type="dxa"/>
              <w:right w:w="100" w:type="dxa"/>
            </w:tcMar>
          </w:tcPr>
          <w:p>
            <w:r>
              <w:rPr>
                <w:color w:val="1E293B"/>
                <w:sz w:val="18"/>
              </w:rPr>
              <w:t>Plataforma digital para control de pedidos, asignación de rutas y monitoreo de repartidores por geolocalización.</w:t>
            </w:r>
          </w:p>
        </w:tc>
      </w:tr>
      <w:tr>
        <w:tc>
          <w:tcPr>
            <w:tcW w:type="dxa" w:w="1152"/>
            <w:shd w:fill="F8FAFC"/>
            <w:tcMar>
              <w:top w:w="80" w:type="dxa"/>
              <w:bottom w:w="80" w:type="dxa"/>
              <w:left w:w="100" w:type="dxa"/>
              <w:right w:w="100" w:type="dxa"/>
            </w:tcMar>
          </w:tcPr>
          <w:p>
            <w:pPr>
              <w:jc w:val="center"/>
            </w:pPr>
            <w:r>
              <w:rPr>
                <w:b/>
                <w:color w:val="0284C7"/>
                <w:sz w:val="18"/>
              </w:rPr>
              <w:t>#3</w:t>
            </w:r>
          </w:p>
        </w:tc>
        <w:tc>
          <w:tcPr>
            <w:tcW w:type="dxa" w:w="3168"/>
            <w:shd w:fill="F8FAFC"/>
            <w:tcMar>
              <w:top w:w="80" w:type="dxa"/>
              <w:bottom w:w="80" w:type="dxa"/>
              <w:left w:w="100" w:type="dxa"/>
              <w:right w:w="100" w:type="dxa"/>
            </w:tcMar>
          </w:tcPr>
          <w:p>
            <w:r>
              <w:rPr>
                <w:b/>
                <w:color w:val="0F172A"/>
                <w:sz w:val="18"/>
              </w:rPr>
              <w:t>Juego educativo en PowerPoint - Tiro con dardos</w:t>
            </w:r>
          </w:p>
        </w:tc>
        <w:tc>
          <w:tcPr>
            <w:tcW w:type="dxa" w:w="1872"/>
            <w:shd w:fill="F8FAFC"/>
            <w:tcMar>
              <w:top w:w="80" w:type="dxa"/>
              <w:bottom w:w="80" w:type="dxa"/>
              <w:left w:w="100" w:type="dxa"/>
              <w:right w:w="100" w:type="dxa"/>
            </w:tcMar>
          </w:tcPr>
          <w:p>
            <w:r>
              <w:rPr>
                <w:b/>
                <w:color w:val="D97706"/>
                <w:sz w:val="18"/>
              </w:rPr>
              <w:t>Innovación</w:t>
            </w:r>
          </w:p>
        </w:tc>
        <w:tc>
          <w:tcPr>
            <w:tcW w:type="dxa" w:w="3456"/>
            <w:shd w:fill="F8FAFC"/>
            <w:tcMar>
              <w:top w:w="80" w:type="dxa"/>
              <w:bottom w:w="80" w:type="dxa"/>
              <w:left w:w="100" w:type="dxa"/>
              <w:right w:w="100" w:type="dxa"/>
            </w:tcMar>
          </w:tcPr>
          <w:p>
            <w:r>
              <w:rPr>
                <w:color w:val="1E293B"/>
                <w:sz w:val="18"/>
              </w:rPr>
              <w:t>Metodología pedagógica interactiva que transforma dinámicas escolares en juegos gamificados de destreza y aprendizaje.</w:t>
            </w:r>
          </w:p>
        </w:tc>
      </w:tr>
      <w:tr>
        <w:tc>
          <w:tcPr>
            <w:tcW w:type="dxa" w:w="1152"/>
            <w:shd w:fill="FFFFFF"/>
            <w:tcMar>
              <w:top w:w="80" w:type="dxa"/>
              <w:bottom w:w="80" w:type="dxa"/>
              <w:left w:w="100" w:type="dxa"/>
              <w:right w:w="100" w:type="dxa"/>
            </w:tcMar>
          </w:tcPr>
          <w:p>
            <w:pPr>
              <w:jc w:val="center"/>
            </w:pPr>
            <w:r>
              <w:rPr>
                <w:b/>
                <w:color w:val="0284C7"/>
                <w:sz w:val="18"/>
              </w:rPr>
              <w:t>#4</w:t>
            </w:r>
          </w:p>
        </w:tc>
        <w:tc>
          <w:tcPr>
            <w:tcW w:type="dxa" w:w="3168"/>
            <w:shd w:fill="FFFFFF"/>
            <w:tcMar>
              <w:top w:w="80" w:type="dxa"/>
              <w:bottom w:w="80" w:type="dxa"/>
              <w:left w:w="100" w:type="dxa"/>
              <w:right w:w="100" w:type="dxa"/>
            </w:tcMar>
          </w:tcPr>
          <w:p>
            <w:r>
              <w:rPr>
                <w:b/>
                <w:color w:val="0F172A"/>
                <w:sz w:val="18"/>
              </w:rPr>
              <w:t>Sistema de registro, cobro y pago para la cooperativa de agua en Rosal Centro</w:t>
            </w:r>
          </w:p>
        </w:tc>
        <w:tc>
          <w:tcPr>
            <w:tcW w:type="dxa" w:w="1872"/>
            <w:shd w:fill="FFFFFF"/>
            <w:tcMar>
              <w:top w:w="80" w:type="dxa"/>
              <w:bottom w:w="80" w:type="dxa"/>
              <w:left w:w="100" w:type="dxa"/>
              <w:right w:w="100" w:type="dxa"/>
            </w:tcMar>
          </w:tcPr>
          <w:p>
            <w:r>
              <w:rPr>
                <w:b/>
                <w:color w:val="D97706"/>
                <w:sz w:val="18"/>
              </w:rPr>
              <w:t>Innovación</w:t>
            </w:r>
          </w:p>
        </w:tc>
        <w:tc>
          <w:tcPr>
            <w:tcW w:type="dxa" w:w="3456"/>
            <w:shd w:fill="FFFFFF"/>
            <w:tcMar>
              <w:top w:w="80" w:type="dxa"/>
              <w:bottom w:w="80" w:type="dxa"/>
              <w:left w:w="100" w:type="dxa"/>
              <w:right w:w="100" w:type="dxa"/>
            </w:tcMar>
          </w:tcPr>
          <w:p>
            <w:r>
              <w:rPr>
                <w:color w:val="1E293B"/>
                <w:sz w:val="18"/>
              </w:rPr>
              <w:t>Digitalización del registro de medidores de agua potable, liquidación de consumo y emisión de recibos ágiles.</w:t>
            </w:r>
          </w:p>
        </w:tc>
      </w:tr>
      <w:tr>
        <w:tc>
          <w:tcPr>
            <w:tcW w:type="dxa" w:w="1152"/>
            <w:shd w:fill="F8FAFC"/>
            <w:tcMar>
              <w:top w:w="80" w:type="dxa"/>
              <w:bottom w:w="80" w:type="dxa"/>
              <w:left w:w="100" w:type="dxa"/>
              <w:right w:w="100" w:type="dxa"/>
            </w:tcMar>
          </w:tcPr>
          <w:p>
            <w:pPr>
              <w:jc w:val="center"/>
            </w:pPr>
            <w:r>
              <w:rPr>
                <w:b/>
                <w:color w:val="0284C7"/>
                <w:sz w:val="18"/>
              </w:rPr>
              <w:t>#5</w:t>
            </w:r>
          </w:p>
        </w:tc>
        <w:tc>
          <w:tcPr>
            <w:tcW w:type="dxa" w:w="3168"/>
            <w:shd w:fill="F8FAFC"/>
            <w:tcMar>
              <w:top w:w="80" w:type="dxa"/>
              <w:bottom w:w="80" w:type="dxa"/>
              <w:left w:w="100" w:type="dxa"/>
              <w:right w:w="100" w:type="dxa"/>
            </w:tcMar>
          </w:tcPr>
          <w:p>
            <w:r>
              <w:rPr>
                <w:b/>
                <w:color w:val="0F172A"/>
                <w:sz w:val="18"/>
              </w:rPr>
              <w:t>Sistema de torneo y ligas</w:t>
            </w:r>
          </w:p>
        </w:tc>
        <w:tc>
          <w:tcPr>
            <w:tcW w:type="dxa" w:w="1872"/>
            <w:shd w:fill="F8FAFC"/>
            <w:tcMar>
              <w:top w:w="80" w:type="dxa"/>
              <w:bottom w:w="80" w:type="dxa"/>
              <w:left w:w="100" w:type="dxa"/>
              <w:right w:w="100" w:type="dxa"/>
            </w:tcMar>
          </w:tcPr>
          <w:p>
            <w:r>
              <w:rPr>
                <w:b/>
                <w:color w:val="D97706"/>
                <w:sz w:val="18"/>
              </w:rPr>
              <w:t>Emprendimiento</w:t>
            </w:r>
          </w:p>
        </w:tc>
        <w:tc>
          <w:tcPr>
            <w:tcW w:type="dxa" w:w="3456"/>
            <w:shd w:fill="F8FAFC"/>
            <w:tcMar>
              <w:top w:w="80" w:type="dxa"/>
              <w:bottom w:w="80" w:type="dxa"/>
              <w:left w:w="100" w:type="dxa"/>
              <w:right w:w="100" w:type="dxa"/>
            </w:tcMar>
          </w:tcPr>
          <w:p>
            <w:r>
              <w:rPr>
                <w:color w:val="1E293B"/>
                <w:sz w:val="18"/>
              </w:rPr>
              <w:t>Gestión integral de campeonatos deportivos municipales, generación de fixtures, cómputo de tablas de posiciones y estadísticas.</w:t>
            </w:r>
          </w:p>
        </w:tc>
      </w:tr>
      <w:tr>
        <w:tc>
          <w:tcPr>
            <w:tcW w:type="dxa" w:w="1152"/>
            <w:shd w:fill="FFFFFF"/>
            <w:tcMar>
              <w:top w:w="80" w:type="dxa"/>
              <w:bottom w:w="80" w:type="dxa"/>
              <w:left w:w="100" w:type="dxa"/>
              <w:right w:w="100" w:type="dxa"/>
            </w:tcMar>
          </w:tcPr>
          <w:p>
            <w:pPr>
              <w:jc w:val="center"/>
            </w:pPr>
            <w:r>
              <w:rPr>
                <w:b/>
                <w:color w:val="0284C7"/>
                <w:sz w:val="18"/>
              </w:rPr>
              <w:t>#6</w:t>
            </w:r>
          </w:p>
        </w:tc>
        <w:tc>
          <w:tcPr>
            <w:tcW w:type="dxa" w:w="3168"/>
            <w:shd w:fill="FFFFFF"/>
            <w:tcMar>
              <w:top w:w="80" w:type="dxa"/>
              <w:bottom w:w="80" w:type="dxa"/>
              <w:left w:w="100" w:type="dxa"/>
              <w:right w:w="100" w:type="dxa"/>
            </w:tcMar>
          </w:tcPr>
          <w:p>
            <w:r>
              <w:rPr>
                <w:b/>
                <w:color w:val="0F172A"/>
                <w:sz w:val="18"/>
              </w:rPr>
              <w:t>Sistema de inventario</w:t>
            </w:r>
          </w:p>
        </w:tc>
        <w:tc>
          <w:tcPr>
            <w:tcW w:type="dxa" w:w="1872"/>
            <w:shd w:fill="FFFFFF"/>
            <w:tcMar>
              <w:top w:w="80" w:type="dxa"/>
              <w:bottom w:w="80" w:type="dxa"/>
              <w:left w:w="100" w:type="dxa"/>
              <w:right w:w="100" w:type="dxa"/>
            </w:tcMar>
          </w:tcPr>
          <w:p>
            <w:r>
              <w:rPr>
                <w:b/>
                <w:color w:val="D97706"/>
                <w:sz w:val="18"/>
              </w:rPr>
              <w:t>Innovación</w:t>
            </w:r>
          </w:p>
        </w:tc>
        <w:tc>
          <w:tcPr>
            <w:tcW w:type="dxa" w:w="3456"/>
            <w:shd w:fill="FFFFFF"/>
            <w:tcMar>
              <w:top w:w="80" w:type="dxa"/>
              <w:bottom w:w="80" w:type="dxa"/>
              <w:left w:w="100" w:type="dxa"/>
              <w:right w:w="100" w:type="dxa"/>
            </w:tcMar>
          </w:tcPr>
          <w:p>
            <w:r>
              <w:rPr>
                <w:color w:val="1E293B"/>
                <w:sz w:val="18"/>
              </w:rPr>
              <w:t>Control sistematizado de stock, alertas de mínimos y registro de entradas y salidas de mercadería para comerciantes locales.</w:t>
            </w:r>
          </w:p>
        </w:tc>
      </w:tr>
      <w:tr>
        <w:tc>
          <w:tcPr>
            <w:tcW w:type="dxa" w:w="1152"/>
            <w:shd w:fill="F8FAFC"/>
            <w:tcMar>
              <w:top w:w="80" w:type="dxa"/>
              <w:bottom w:w="80" w:type="dxa"/>
              <w:left w:w="100" w:type="dxa"/>
              <w:right w:w="100" w:type="dxa"/>
            </w:tcMar>
          </w:tcPr>
          <w:p>
            <w:pPr>
              <w:jc w:val="center"/>
            </w:pPr>
            <w:r>
              <w:rPr>
                <w:b/>
                <w:color w:val="0284C7"/>
                <w:sz w:val="18"/>
              </w:rPr>
              <w:t>#7</w:t>
            </w:r>
          </w:p>
        </w:tc>
        <w:tc>
          <w:tcPr>
            <w:tcW w:type="dxa" w:w="3168"/>
            <w:shd w:fill="F8FAFC"/>
            <w:tcMar>
              <w:top w:w="80" w:type="dxa"/>
              <w:bottom w:w="80" w:type="dxa"/>
              <w:left w:w="100" w:type="dxa"/>
              <w:right w:w="100" w:type="dxa"/>
            </w:tcMar>
          </w:tcPr>
          <w:p>
            <w:r>
              <w:rPr>
                <w:b/>
                <w:color w:val="0F172A"/>
                <w:sz w:val="18"/>
              </w:rPr>
              <w:t>Marketing digital</w:t>
            </w:r>
          </w:p>
        </w:tc>
        <w:tc>
          <w:tcPr>
            <w:tcW w:type="dxa" w:w="1872"/>
            <w:shd w:fill="F8FAFC"/>
            <w:tcMar>
              <w:top w:w="80" w:type="dxa"/>
              <w:bottom w:w="80" w:type="dxa"/>
              <w:left w:w="100" w:type="dxa"/>
              <w:right w:w="100" w:type="dxa"/>
            </w:tcMar>
          </w:tcPr>
          <w:p>
            <w:r>
              <w:rPr>
                <w:b/>
                <w:color w:val="D97706"/>
                <w:sz w:val="18"/>
              </w:rPr>
              <w:t>Emprendimiento</w:t>
            </w:r>
          </w:p>
        </w:tc>
        <w:tc>
          <w:tcPr>
            <w:tcW w:type="dxa" w:w="3456"/>
            <w:shd w:fill="F8FAFC"/>
            <w:tcMar>
              <w:top w:w="80" w:type="dxa"/>
              <w:bottom w:w="80" w:type="dxa"/>
              <w:left w:w="100" w:type="dxa"/>
              <w:right w:w="100" w:type="dxa"/>
            </w:tcMar>
          </w:tcPr>
          <w:p>
            <w:r>
              <w:rPr>
                <w:color w:val="1E293B"/>
                <w:sz w:val="18"/>
              </w:rPr>
              <w:t>Estrategias de posicionamiento web, catálogos en redes sociales y captación de clientes para negocios de la región.</w:t>
            </w:r>
          </w:p>
        </w:tc>
      </w:tr>
    </w:tbl>
    <w:p>
      <w:r>
        <w:br w:type="page"/>
      </w:r>
    </w:p>
    <w:p>
      <w:pPr>
        <w:spacing w:before="120" w:after="160"/>
      </w:pPr>
      <w:r>
        <w:rPr>
          <w:rFonts w:ascii="Arial" w:hAnsi="Arial"/>
          <w:b/>
          <w:color w:val="0F172A"/>
          <w:sz w:val="30"/>
        </w:rPr>
        <w:t>4. GUÍA DE USUARIO: PÚBLICO GENERAL Y ESTUDIANTES</w:t>
      </w:r>
    </w:p>
    <w:p>
      <w:r>
        <w:t>Cualquier visitante, estudiante o docente puede ingresar libremente al sistema sin necesidad de introducir contraseñas. La interfaz está optimizada para ofrecer una experiencia intuitiva y visualmente atractiva.</w:t>
      </w:r>
    </w:p>
    <w:p>
      <w:pPr>
        <w:spacing w:before="80" w:after="40"/>
      </w:pPr>
      <w:r>
        <w:rPr>
          <w:b/>
          <w:color w:val="0284C7"/>
          <w:sz w:val="22"/>
        </w:rPr>
        <w:t>Paso 1: Ingreso a la Página Principal</w:t>
      </w:r>
    </w:p>
    <w:p>
      <w:pPr>
        <w:spacing w:before="0" w:after="120"/>
      </w:pPr>
      <w:r>
        <w:rPr>
          <w:color w:val="1E293B"/>
          <w:sz w:val="19"/>
        </w:rPr>
        <w:t>Al acceder a la URL del concurso, la persona visualiza en la cabecera el escudo oficial del CEA a la izquierda y el logotipo de Sistemas Informáticos a la derecha. En el centro se visualiza el título del evento y el estado del concurso en vivo.</w:t>
      </w:r>
    </w:p>
    <w:p>
      <w:pPr>
        <w:spacing w:before="80" w:after="40"/>
      </w:pPr>
      <w:r>
        <w:rPr>
          <w:b/>
          <w:color w:val="0284C7"/>
          <w:sz w:val="22"/>
        </w:rPr>
        <w:t>Paso 2: Visualización de las Tarjetas de los 7 Stands</w:t>
      </w:r>
    </w:p>
    <w:p>
      <w:pPr>
        <w:spacing w:before="0" w:after="120"/>
      </w:pPr>
      <w:r>
        <w:rPr>
          <w:color w:val="1E293B"/>
          <w:sz w:val="19"/>
        </w:rPr>
        <w:t>En la pantalla principal se presentan las 7 tarjetas de los proyectos. Cada tarjeta cuenta con la fotografía real del proyecto, su modalidad (Innovación o Emprendimiento), título y descripción breve.</w:t>
      </w:r>
    </w:p>
    <w:p>
      <w:pPr>
        <w:spacing w:before="80" w:after="40"/>
      </w:pPr>
      <w:r>
        <w:rPr>
          <w:b/>
          <w:color w:val="0284C7"/>
          <w:sz w:val="22"/>
        </w:rPr>
        <w:t>Paso 3: Consulta de la Nota Centralizada en Vivo</w:t>
      </w:r>
    </w:p>
    <w:p>
      <w:pPr>
        <w:spacing w:before="0" w:after="120"/>
      </w:pPr>
      <w:r>
        <w:rPr>
          <w:color w:val="1E293B"/>
          <w:sz w:val="19"/>
        </w:rPr>
        <w:t>En la esquina superior de cada stand aparece un distintivo dorado con una estrella. Si los jurados ya comenzaron a calificar, se muestra el promedio matemático actual sobre 100 puntos (por ejemplo, «Nota: 89.5 / 100»). Si aún no ha sido evaluado, indica «Por calificar».</w:t>
      </w:r>
    </w:p>
    <w:p>
      <w:pPr>
        <w:spacing w:before="80" w:after="40"/>
      </w:pPr>
      <w:r>
        <w:rPr>
          <w:b/>
          <w:color w:val="0284C7"/>
          <w:sz w:val="22"/>
        </w:rPr>
        <w:t>Paso 4: Ingreso al Centro de Información (Stand Hub)</w:t>
      </w:r>
    </w:p>
    <w:p>
      <w:pPr>
        <w:spacing w:before="0" w:after="120"/>
      </w:pPr>
      <w:r>
        <w:rPr>
          <w:color w:val="1E293B"/>
          <w:sz w:val="19"/>
        </w:rPr>
        <w:t>Al hacer clic sobre cualquier stand, se abre una ventana modal emergente con los detalles ampliados del stand y el desglose de los 3 Jurados (Jurado 1, Jurado 2 y Jurado 3), indicando cuántos ya han calificado y cuál fue la nota emitida por cada uno.</w:t>
      </w:r>
    </w:p>
    <w:p>
      <w:pPr>
        <w:spacing w:before="80" w:after="40"/>
      </w:pPr>
      <w:r>
        <w:rPr>
          <w:b/>
          <w:color w:val="0284C7"/>
          <w:sz w:val="22"/>
        </w:rPr>
        <w:t>Paso 5: Lectura de la Hoja Oficial del Jurado</w:t>
      </w:r>
    </w:p>
    <w:p>
      <w:pPr>
        <w:spacing w:before="0" w:after="120"/>
      </w:pPr>
      <w:r>
        <w:rPr>
          <w:color w:val="1E293B"/>
          <w:sz w:val="19"/>
        </w:rPr>
        <w:t>Desde el Stand Hub, el público puede pulsar sobre la tarjeta de cualquier jurado para abrir la réplica exacta de la Hoja Oficial de Calificación. En modo público, los campos están bloqueados contra escritura para garantizar la seguridad de las notas.</w:t>
      </w:r>
    </w:p>
    <w:p>
      <w:pPr>
        <w:spacing w:before="80" w:after="40"/>
      </w:pPr>
      <w:r>
        <w:rPr>
          <w:b/>
          <w:color w:val="0284C7"/>
          <w:sz w:val="22"/>
        </w:rPr>
        <w:t>Paso 6: Visualización del Podio de Ganadores</w:t>
      </w:r>
    </w:p>
    <w:p>
      <w:pPr>
        <w:spacing w:before="0" w:after="120"/>
      </w:pPr>
      <w:r>
        <w:rPr>
          <w:color w:val="1E293B"/>
          <w:sz w:val="19"/>
        </w:rPr>
        <w:t>Una vez que concluyan las evaluaciones y el Administrador General publique los resultados oficiales, aparecerá en la parte superior el Cuadro de Honor con el 1.º, 2.º y 3.º lugar con sus respectivos trofeos y premios.</w:t>
      </w:r>
    </w:p>
    <w:tbl>
      <w:tblPr>
        <w:tblW w:type="auto" w:w="0"/>
        <w:jc w:val="center"/>
        <w:tblLook w:firstColumn="1" w:firstRow="1" w:lastColumn="0" w:lastRow="0" w:noHBand="0" w:noVBand="1" w:val="04A0"/>
      </w:tblPr>
      <w:tblGrid>
        <w:gridCol w:w="9648"/>
      </w:tblGrid>
      <w:tr>
        <w:tc>
          <w:tcPr>
            <w:tcW w:type="dxa" w:w="9648"/>
            <w:shd w:fill="F0FDF4"/>
            <w:tcMar>
              <w:top w:w="140" w:type="dxa"/>
              <w:bottom w:w="140" w:type="dxa"/>
              <w:left w:w="220" w:type="dxa"/>
              <w:right w:w="200" w:type="dxa"/>
            </w:tcMar>
            <w:tcBorders>
              <w:left w:val="single" w:sz="24" w:space="0" w:color="16A34A"/>
              <w:top w:val="none"/>
              <w:bottom w:val="none"/>
              <w:right w:val="none"/>
            </w:tcBorders>
          </w:tcPr>
          <w:p>
            <w:pPr>
              <w:spacing w:before="0" w:after="40"/>
            </w:pPr>
            <w:r>
              <w:rPr>
                <w:rFonts w:ascii="Calibri" w:hAnsi="Calibri"/>
                <w:b/>
                <w:color w:val="16A34A"/>
                <w:sz w:val="20"/>
              </w:rPr>
              <w:t xml:space="preserve">📌 VENTAJA PARA LOS GRUPOS EXPOSITORES: </w:t>
            </w:r>
            <w:r>
              <w:rPr>
                <w:rFonts w:ascii="Calibri" w:hAnsi="Calibri"/>
                <w:color w:val="334155"/>
                <w:sz w:val="19"/>
              </w:rPr>
              <w:t>Los estudiantes de cada stand pueden consultar su nota centralizada inmediatamente después de que cada jurado concluye su evaluación, sin tener que esperar al final de la jornada para saber cómo fue calificado su stand.</w:t>
            </w:r>
          </w:p>
        </w:tc>
      </w:tr>
    </w:tbl>
    <w:p>
      <w:pPr>
        <w:spacing w:before="0" w:after="80"/>
      </w:pPr>
    </w:p>
    <w:p>
      <w:r>
        <w:br w:type="page"/>
      </w:r>
    </w:p>
    <w:p>
      <w:pPr>
        <w:spacing w:before="120" w:after="160"/>
      </w:pPr>
      <w:r>
        <w:rPr>
          <w:rFonts w:ascii="Arial" w:hAnsi="Arial"/>
          <w:b/>
          <w:color w:val="0F172A"/>
          <w:sz w:val="30"/>
        </w:rPr>
        <w:t>5. GUÍA DE USUARIO: JURADOS CALIFICADORES (1, 2 Y 3)</w:t>
      </w:r>
    </w:p>
    <w:p>
      <w:r>
        <w:t>Cada uno de los 3 jurados designados cuenta con su propio perfil digital independiente. A continuación se detalla el procedimiento paso a paso para registrar las calificaciones:</w:t>
      </w:r>
    </w:p>
    <w:p>
      <w:pPr>
        <w:spacing w:before="80" w:after="40"/>
      </w:pPr>
      <w:r>
        <w:rPr>
          <w:b/>
          <w:color w:val="0284C7"/>
          <w:sz w:val="22"/>
        </w:rPr>
        <w:t>1. Inicio de Sesión</w:t>
      </w:r>
    </w:p>
    <w:p>
      <w:pPr>
        <w:spacing w:before="0" w:after="120"/>
      </w:pPr>
      <w:r>
        <w:rPr>
          <w:color w:val="1E293B"/>
          <w:sz w:val="19"/>
        </w:rPr>
        <w:t>El jurado debe hacer clic en el botón «Login» ubicado en la esquina superior derecha de la pantalla. En el formulario modal que aparece, debe ingresar su usuario (ej: jurado1) y su contraseña (ej: sistemas1). Al presionar «Iniciar Sesión», el sistema lo reconocerá con una insignia verde: «Jurado 1».</w:t>
      </w:r>
    </w:p>
    <w:p>
      <w:pPr>
        <w:spacing w:before="80" w:after="40"/>
      </w:pPr>
      <w:r>
        <w:rPr>
          <w:b/>
          <w:color w:val="0284C7"/>
          <w:sz w:val="22"/>
        </w:rPr>
        <w:t>2. Identificación del Stand a Calificar</w:t>
      </w:r>
    </w:p>
    <w:p>
      <w:pPr>
        <w:spacing w:before="0" w:after="120"/>
      </w:pPr>
      <w:r>
        <w:rPr>
          <w:color w:val="1E293B"/>
          <w:sz w:val="19"/>
        </w:rPr>
        <w:t>El jurado recorre los stands en el recinto. En la aplicación, cada tarjeta de stand mostrará un botón azul pulsante con el texto «Calificar». Si el jurado ya emitió una nota previa para ese stand, el botón cambiará a verde indicando «Mi Nota: XX pts».</w:t>
      </w:r>
    </w:p>
    <w:p>
      <w:pPr>
        <w:spacing w:before="80" w:after="40"/>
      </w:pPr>
      <w:r>
        <w:rPr>
          <w:b/>
          <w:color w:val="0284C7"/>
          <w:sz w:val="22"/>
        </w:rPr>
        <w:t>3. Llenado de los 4 Criterios Oficiales (Máximo 25 pts cada uno)</w:t>
      </w:r>
    </w:p>
    <w:p>
      <w:pPr>
        <w:spacing w:before="0" w:after="120"/>
      </w:pPr>
      <w:r>
        <w:rPr>
          <w:color w:val="1E293B"/>
          <w:sz w:val="19"/>
        </w:rPr>
        <w:t>Al presionar «Calificar», se despliega la Hoja Oficial del Jurado, réplica exacta del formato impreso. El jurado cuenta con botones de puntaje rápido (+25, +20, +15, +10) o puede escribir manualmente cualquier puntaje de 0 a 25 en cada criterio:</w:t>
        <w:br/>
        <w:t xml:space="preserve">   • Criterio 1 (💡 Innovación, Creatividad y Originalidad - Máx 25 pts)</w:t>
        <w:br/>
        <w:t xml:space="preserve">   • Criterio 2 (⚙️ Funcionamiento y Demostración Práctica - Máx 25 pts)</w:t>
        <w:br/>
        <w:t xml:space="preserve">   • Criterio 3 (🌱 Beneficio Local para Pailón y Pertinencia - Máx 25 pts)</w:t>
        <w:br/>
        <w:t xml:space="preserve">   • Criterio 4 (🧑‍🏫 Exposición, Defensa y Dominio del Tema - Máx 25 pts)</w:t>
      </w:r>
    </w:p>
    <w:p>
      <w:pPr>
        <w:spacing w:before="80" w:after="40"/>
      </w:pPr>
      <w:r>
        <w:rPr>
          <w:b/>
          <w:color w:val="0284C7"/>
          <w:sz w:val="22"/>
        </w:rPr>
        <w:t>4. Cálculo Automático de la Sumatoria (TOTAL 100)</w:t>
      </w:r>
    </w:p>
    <w:p>
      <w:pPr>
        <w:spacing w:before="0" w:after="120"/>
      </w:pPr>
      <w:r>
        <w:rPr>
          <w:color w:val="1E293B"/>
          <w:sz w:val="19"/>
        </w:rPr>
        <w:t>A medida que el jurado asigna o modifica los puntos de cada criterio, la caja azul superior «TOTAL (Máx. 100)» realiza la suma matemática al instante, garantizando que nunca se exceda de 100 ni se produzcan inconsistencias.</w:t>
      </w:r>
    </w:p>
    <w:p>
      <w:pPr>
        <w:spacing w:before="80" w:after="40"/>
      </w:pPr>
      <w:r>
        <w:rPr>
          <w:b/>
          <w:color w:val="0284C7"/>
          <w:sz w:val="22"/>
        </w:rPr>
        <w:t>5. Observaciones y Recomendaciones</w:t>
      </w:r>
    </w:p>
    <w:p>
      <w:pPr>
        <w:spacing w:before="0" w:after="120"/>
      </w:pPr>
      <w:r>
        <w:rPr>
          <w:color w:val="1E293B"/>
          <w:sz w:val="19"/>
        </w:rPr>
        <w:t>Debajo de la tabla de criterios, el jurado dispone de dos renglones subrayados para redactar comentarios cualitativos, observaciones técnicas o sugerencias pedagógicas para los estudiantes.</w:t>
      </w:r>
    </w:p>
    <w:p>
      <w:pPr>
        <w:spacing w:before="80" w:after="40"/>
      </w:pPr>
      <w:r>
        <w:rPr>
          <w:b/>
          <w:color w:val="0284C7"/>
          <w:sz w:val="22"/>
        </w:rPr>
        <w:t>6. Guardado y Firma Digital</w:t>
      </w:r>
    </w:p>
    <w:p>
      <w:pPr>
        <w:spacing w:before="0" w:after="120"/>
      </w:pPr>
      <w:r>
        <w:rPr>
          <w:color w:val="1E293B"/>
          <w:sz w:val="19"/>
        </w:rPr>
        <w:t>Al pie de la hoja, tras verificar los datos, el jurado presiona el botón azul «Guardar Hoja de Calificación». El sistema guardará la nota, emitirá una notificación de confirmación y actualizará al instante el promedio centralizado del stand.</w:t>
      </w:r>
    </w:p>
    <w:p>
      <w:pPr>
        <w:spacing w:before="80" w:after="40"/>
      </w:pPr>
      <w:r>
        <w:rPr>
          <w:b/>
          <w:color w:val="0284C7"/>
          <w:sz w:val="22"/>
        </w:rPr>
        <w:t>7. Posibilidad de Corrección</w:t>
      </w:r>
    </w:p>
    <w:p>
      <w:pPr>
        <w:spacing w:before="0" w:after="120"/>
      </w:pPr>
      <w:r>
        <w:rPr>
          <w:color w:val="1E293B"/>
          <w:sz w:val="19"/>
        </w:rPr>
        <w:t>Si un jurado desea reconsiderar una nota antes del cierre del concurso, puede volver a ingresar al stand, modificar los valores necesarios y pulsar nuevamente «Guardar».</w:t>
      </w:r>
    </w:p>
    <w:tbl>
      <w:tblPr>
        <w:tblW w:type="auto" w:w="0"/>
        <w:jc w:val="center"/>
        <w:tblLook w:firstColumn="1" w:firstRow="1" w:lastColumn="0" w:lastRow="0" w:noHBand="0" w:noVBand="1" w:val="04A0"/>
      </w:tblPr>
      <w:tblGrid>
        <w:gridCol w:w="9648"/>
      </w:tblGrid>
      <w:tr>
        <w:tc>
          <w:tcPr>
            <w:tcW w:type="dxa" w:w="9648"/>
            <w:shd w:fill="FFFBEB"/>
            <w:tcMar>
              <w:top w:w="140" w:type="dxa"/>
              <w:bottom w:w="140" w:type="dxa"/>
              <w:left w:w="220" w:type="dxa"/>
              <w:right w:w="200" w:type="dxa"/>
            </w:tcMar>
            <w:tcBorders>
              <w:left w:val="single" w:sz="24" w:space="0" w:color="D97706"/>
              <w:top w:val="none"/>
              <w:bottom w:val="none"/>
              <w:right w:val="none"/>
            </w:tcBorders>
          </w:tcPr>
          <w:p>
            <w:pPr>
              <w:spacing w:before="0" w:after="40"/>
            </w:pPr>
            <w:r>
              <w:rPr>
                <w:rFonts w:ascii="Calibri" w:hAnsi="Calibri"/>
                <w:b/>
                <w:color w:val="D97706"/>
                <w:sz w:val="20"/>
              </w:rPr>
              <w:t xml:space="preserve">📌 REGLA DE INDEPENDENCIA DEL JURADO: </w:t>
            </w:r>
            <w:r>
              <w:rPr>
                <w:rFonts w:ascii="Calibri" w:hAnsi="Calibri"/>
                <w:color w:val="334155"/>
                <w:sz w:val="19"/>
              </w:rPr>
              <w:t>Cada jurado únicamente puede editar su propia hoja de calificación. No tiene permitido modificar ni alterar las calificaciones de los otros jurados, preservando la absoluta independencia de criterio de cada calificador.</w:t>
            </w:r>
          </w:p>
        </w:tc>
      </w:tr>
    </w:tbl>
    <w:p>
      <w:pPr>
        <w:spacing w:before="0" w:after="80"/>
      </w:pPr>
    </w:p>
    <w:p>
      <w:r>
        <w:br w:type="page"/>
      </w:r>
    </w:p>
    <w:p>
      <w:pPr>
        <w:spacing w:before="120" w:after="160"/>
      </w:pPr>
      <w:r>
        <w:rPr>
          <w:rFonts w:ascii="Arial" w:hAnsi="Arial"/>
          <w:b/>
          <w:color w:val="0F172A"/>
          <w:sz w:val="30"/>
        </w:rPr>
        <w:t>6. GUÍA DE USUARIO: ADMINISTRADOR GENERAL</w:t>
      </w:r>
    </w:p>
    <w:p>
      <w:r>
        <w:t>El Administrador General (`admin` / `sistemas`) ostenta la máxima autoridad operativa dentro del sistema web. A continuación se describen sus funciones y atribuciones exclusivas:</w:t>
      </w:r>
    </w:p>
    <w:p>
      <w:pPr>
        <w:spacing w:before="80" w:after="40"/>
      </w:pPr>
      <w:r>
        <w:rPr>
          <w:b/>
          <w:color w:val="0284C7"/>
          <w:sz w:val="22"/>
        </w:rPr>
        <w:t>1. Acceso a la Pestaña 'Consolidado Oficial (Admin)'</w:t>
      </w:r>
    </w:p>
    <w:p>
      <w:pPr>
        <w:spacing w:before="0" w:after="120"/>
      </w:pPr>
      <w:r>
        <w:rPr>
          <w:color w:val="1E293B"/>
          <w:sz w:val="19"/>
        </w:rPr>
        <w:t>Tras iniciar sesión con el usuario `admin`, aparecerá en la barra de navegación la pestaña «Consolidado Oficial (Admin)». Al ingresar, se despliega el centro de comando con las estadísticas del concurso, el avance de evaluaciones (ej: «21 / 21 votos») y la matriz de tabulación.</w:t>
      </w:r>
    </w:p>
    <w:p>
      <w:pPr>
        <w:spacing w:before="80" w:after="40"/>
      </w:pPr>
      <w:r>
        <w:rPr>
          <w:b/>
          <w:color w:val="0284C7"/>
          <w:sz w:val="22"/>
        </w:rPr>
        <w:t>2. Matriz de Tabulación en Tiempo Real (8 Columnas)</w:t>
      </w:r>
    </w:p>
    <w:p>
      <w:pPr>
        <w:spacing w:before="0" w:after="120"/>
      </w:pPr>
      <w:r>
        <w:rPr>
          <w:color w:val="1E293B"/>
          <w:sz w:val="19"/>
        </w:rPr>
        <w:t>La tabla consolidada muestra de un vistazo:</w:t>
        <w:br/>
        <w:t xml:space="preserve">   • Stand #: Identificador numérico del proyecto.</w:t>
        <w:br/>
        <w:t xml:space="preserve">   • Proyecto: Título oficial y categoría.</w:t>
        <w:br/>
        <w:t xml:space="preserve">   • Jurado 1: Nota registrada por J1 (con botón de edición rápida).</w:t>
        <w:br/>
        <w:t xml:space="preserve">   • Jurado 2: Nota registrada por J2 (con botón de edición rápida).</w:t>
        <w:br/>
        <w:t xml:space="preserve">   • Jurado 3: Nota registrada por J3 (con botón de edición rápida).</w:t>
        <w:br/>
        <w:t xml:space="preserve">   • Promedio: Cálculo matemático centralizado.</w:t>
        <w:br/>
        <w:t xml:space="preserve">   • Posición Oficial: Medalla de 1° Gran Campeón, 2° Lugar, 3° Lugar e insignias de estado.</w:t>
        <w:br/>
        <w:t xml:space="preserve">   • Acciones: Botón «Editar» para auditar la hoja completa.</w:t>
      </w:r>
    </w:p>
    <w:p>
      <w:pPr>
        <w:spacing w:before="80" w:after="40"/>
      </w:pPr>
      <w:r>
        <w:rPr>
          <w:b/>
          <w:color w:val="0284C7"/>
          <w:sz w:val="22"/>
        </w:rPr>
        <w:t>3. Edición y Actualización de Calificaciones (Facultad Exclusiva)</w:t>
      </w:r>
    </w:p>
    <w:p>
      <w:pPr>
        <w:spacing w:before="0" w:after="120"/>
      </w:pPr>
      <w:r>
        <w:rPr>
          <w:color w:val="1E293B"/>
          <w:sz w:val="19"/>
        </w:rPr>
        <w:t>Solo el Administrador tiene la potestad de abrir cualquier hoja de cualquiera de los 3 jurados en «Modo Administrador» para corregir erratas o actualizar notas si la comisión así lo determina durante la deliberación final.</w:t>
      </w:r>
    </w:p>
    <w:p>
      <w:pPr>
        <w:spacing w:before="80" w:after="40"/>
      </w:pPr>
      <w:r>
        <w:rPr>
          <w:b/>
          <w:color w:val="0284C7"/>
          <w:sz w:val="22"/>
        </w:rPr>
        <w:t>4. Detección y Resolución de Desempates ('Resolver Desempates')</w:t>
      </w:r>
    </w:p>
    <w:p>
      <w:pPr>
        <w:spacing w:before="0" w:after="120"/>
      </w:pPr>
      <w:r>
        <w:rPr>
          <w:color w:val="1E293B"/>
          <w:sz w:val="19"/>
        </w:rPr>
        <w:t>Si dos o más proyectos obtienen idéntico promedio matemático, el sistema enciende una alerta amarilla y asigna la etiqueta «⚠️ Empate». El Administrador puede abrir el modal «Resolver Desempates», definir la posición oficial de cada stand y registrar la justificación técnica acordada con el jurado.</w:t>
      </w:r>
    </w:p>
    <w:p>
      <w:pPr>
        <w:spacing w:before="80" w:after="40"/>
      </w:pPr>
      <w:r>
        <w:rPr>
          <w:b/>
          <w:color w:val="0284C7"/>
          <w:sz w:val="22"/>
        </w:rPr>
        <w:t>5. Publicación Oficial del Podio de Ganadores</w:t>
      </w:r>
    </w:p>
    <w:p>
      <w:pPr>
        <w:spacing w:before="0" w:after="120"/>
      </w:pPr>
      <w:r>
        <w:rPr>
          <w:color w:val="1E293B"/>
          <w:sz w:val="19"/>
        </w:rPr>
        <w:t>Una vez completadas las 21 evaluaciones y resueltos los empates, el Administrador pulsa el botón maestro «Publicar Resultados Finales». Al confirmar, el público verá el Cuadro de Honor con los 3 primeros lugares y los premios correspondientes (1.° Bs. 500, 2.° Bs. 300, 3.° Bs. 150). Si se requiere hacer algún ajuste posterior, el Administrador puede retirar la publicación en cualquier momento.</w:t>
      </w:r>
    </w:p>
    <w:p>
      <w:pPr>
        <w:spacing w:before="80" w:after="40"/>
      </w:pPr>
      <w:r>
        <w:rPr>
          <w:b/>
          <w:color w:val="0284C7"/>
          <w:sz w:val="22"/>
        </w:rPr>
        <w:t>6. Exportación del Acta Oficial en Formato CSV / Excel</w:t>
      </w:r>
    </w:p>
    <w:p>
      <w:pPr>
        <w:spacing w:before="0" w:after="120"/>
      </w:pPr>
      <w:r>
        <w:rPr>
          <w:color w:val="1E293B"/>
          <w:sz w:val="19"/>
        </w:rPr>
        <w:t>El Administrador dispone del botón «Exportar a CSV», que genera automáticamente una planilla compatible con Microsoft Excel con el detalle completo de notas, promedios, posiciones oficiales y resoluciones de desempate para el archivo documental del CEA.</w:t>
      </w: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220" w:type="dxa"/>
              <w:right w:w="200" w:type="dxa"/>
            </w:tcMar>
            <w:tcBorders>
              <w:left w:val="single" w:sz="24" w:space="0" w:color="0F172A"/>
              <w:top w:val="none"/>
              <w:bottom w:val="none"/>
              <w:right w:val="none"/>
            </w:tcBorders>
          </w:tcPr>
          <w:p>
            <w:pPr>
              <w:spacing w:before="0" w:after="40"/>
            </w:pPr>
            <w:r>
              <w:rPr>
                <w:rFonts w:ascii="Calibri" w:hAnsi="Calibri"/>
                <w:b/>
                <w:color w:val="0F172A"/>
                <w:sz w:val="20"/>
              </w:rPr>
              <w:t xml:space="preserve">📌 CLÁUSULA DE AUTORIDAD ADMINISTRATIVA: </w:t>
            </w:r>
            <w:r>
              <w:rPr>
                <w:rFonts w:ascii="Calibri" w:hAnsi="Calibri"/>
                <w:color w:val="334155"/>
                <w:sz w:val="19"/>
              </w:rPr>
              <w:t>Tal como lo solicitan las normas de la institución: SI HUBIERA EMPATES, SOLO EL ADMINISTRADOR TIENE AUTORIZACIÓN PARA EDITAR O ACTUALIZAR LOS RESULTADOS. Ni los jurados individuales ni el público pueden alterar las posiciones definidas en desempate.</w:t>
            </w:r>
          </w:p>
        </w:tc>
      </w:tr>
    </w:tbl>
    <w:p>
      <w:pPr>
        <w:spacing w:before="0" w:after="80"/>
      </w:pPr>
    </w:p>
    <w:p>
      <w:r>
        <w:br w:type="page"/>
      </w:r>
    </w:p>
    <w:p>
      <w:pPr>
        <w:spacing w:before="120" w:after="160"/>
      </w:pPr>
      <w:r>
        <w:rPr>
          <w:rFonts w:ascii="Arial" w:hAnsi="Arial"/>
          <w:b/>
          <w:color w:val="0F172A"/>
          <w:sz w:val="30"/>
        </w:rPr>
        <w:t>7. PROTOCOLO DE DESEMPATES Y ATRIBUCIONES EXCLUSIVAS</w:t>
      </w:r>
    </w:p>
    <w:p>
      <w:r>
        <w:t>En competencias académicas de innovación tecnológica es factible que dos o más proyectos obtengan el mismo promedio ponderado. Para preservar la legalidad y transparencia institucional, el sistema aplica el siguiente protocolo de dirimición:</w:t>
      </w:r>
    </w:p>
    <w:p>
      <w:pPr>
        <w:spacing w:before="60" w:after="60"/>
      </w:pPr>
      <w:r>
        <w:rPr>
          <w:b/>
          <w:color w:val="D97706"/>
        </w:rPr>
        <w:t xml:space="preserve">⚖ Criterio A - Desempate por Funcionamiento y Demostración Práctica (Criterio 2): </w:t>
      </w:r>
      <w:r>
        <w:rPr>
          <w:color w:val="1E293B"/>
        </w:rPr>
        <w:t>La comisión evaluadora revisa cuál de los stands empatados obtuvo mayor puntaje en el Criterio 2 (demostración en vivo del software o prototipo funcional). Quien tenga mejor desempeño práctico obtiene la posición superior.</w:t>
      </w:r>
    </w:p>
    <w:p>
      <w:pPr>
        <w:spacing w:before="60" w:after="60"/>
      </w:pPr>
      <w:r>
        <w:rPr>
          <w:b/>
          <w:color w:val="D97706"/>
        </w:rPr>
        <w:t xml:space="preserve">⚖ Criterio B - Deliberación Unánime del Jurado Calificador: </w:t>
      </w:r>
      <w:r>
        <w:rPr>
          <w:color w:val="1E293B"/>
        </w:rPr>
        <w:t>Los 3 jurados se reúnen con el Administrador y deliberan sobre la pertinencia, calidad de la defensa oral o impacto social en la comunidad de Pailón.</w:t>
      </w:r>
    </w:p>
    <w:p>
      <w:pPr>
        <w:spacing w:before="60" w:after="60"/>
      </w:pPr>
      <w:r>
        <w:rPr>
          <w:b/>
          <w:color w:val="D97706"/>
        </w:rPr>
        <w:t xml:space="preserve">⚖ Registro Obligatorio de la Justificación: </w:t>
      </w:r>
      <w:r>
        <w:rPr>
          <w:color w:val="1E293B"/>
        </w:rPr>
        <w:t>El Administrador debe escribir obligatoriamente en el sistema el motivo del desempate (ejemplo: «Desempate dirimido por unanimidad del jurado priorizando el Criterio 2 - Funcionamiento del sistema en vivo»). Esta razón queda registrada públicamente en la base de datos y en las actas exportadas.</w:t>
      </w:r>
    </w:p>
    <w:p>
      <w:pPr>
        <w:spacing w:before="240" w:after="120"/>
      </w:pPr>
      <w:r>
        <w:rPr>
          <w:b/>
          <w:color w:val="0F172A"/>
          <w:sz w:val="22"/>
        </w:rPr>
        <w:t>Cuadro Oficial de Premiación del Concurso 2026:</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12"/>
        <w:gridCol w:w="2412"/>
        <w:gridCol w:w="2412"/>
        <w:gridCol w:w="2412"/>
      </w:tblGrid>
      <w:tr>
        <w:tc>
          <w:tcPr>
            <w:tcW w:type="dxa" w:w="1728"/>
            <w:shd w:fill="0F172A"/>
            <w:tcMar>
              <w:top w:w="100" w:type="dxa"/>
              <w:bottom w:w="100" w:type="dxa"/>
              <w:left w:w="100" w:type="dxa"/>
              <w:right w:w="100" w:type="dxa"/>
            </w:tcMar>
          </w:tcPr>
          <w:p>
            <w:r>
              <w:rPr>
                <w:b/>
                <w:color w:val="FFFFFF"/>
                <w:sz w:val="19"/>
              </w:rPr>
              <w:t>Lugar</w:t>
            </w:r>
          </w:p>
        </w:tc>
        <w:tc>
          <w:tcPr>
            <w:tcW w:type="dxa" w:w="2592"/>
            <w:shd w:fill="0F172A"/>
            <w:tcMar>
              <w:top w:w="100" w:type="dxa"/>
              <w:bottom w:w="100" w:type="dxa"/>
              <w:left w:w="100" w:type="dxa"/>
              <w:right w:w="100" w:type="dxa"/>
            </w:tcMar>
          </w:tcPr>
          <w:p>
            <w:r>
              <w:rPr>
                <w:b/>
                <w:color w:val="FFFFFF"/>
                <w:sz w:val="19"/>
              </w:rPr>
              <w:t>Distinción Oficial</w:t>
            </w:r>
          </w:p>
        </w:tc>
        <w:tc>
          <w:tcPr>
            <w:tcW w:type="dxa" w:w="2592"/>
            <w:shd w:fill="0F172A"/>
            <w:tcMar>
              <w:top w:w="100" w:type="dxa"/>
              <w:bottom w:w="100" w:type="dxa"/>
              <w:left w:w="100" w:type="dxa"/>
              <w:right w:w="100" w:type="dxa"/>
            </w:tcMar>
          </w:tcPr>
          <w:p>
            <w:r>
              <w:rPr>
                <w:b/>
                <w:color w:val="FFFFFF"/>
                <w:sz w:val="19"/>
              </w:rPr>
              <w:t>Premio Económico</w:t>
            </w:r>
          </w:p>
        </w:tc>
        <w:tc>
          <w:tcPr>
            <w:tcW w:type="dxa" w:w="2592"/>
            <w:shd w:fill="0F172A"/>
            <w:tcMar>
              <w:top w:w="100" w:type="dxa"/>
              <w:bottom w:w="100" w:type="dxa"/>
              <w:left w:w="100" w:type="dxa"/>
              <w:right w:w="100" w:type="dxa"/>
            </w:tcMar>
          </w:tcPr>
          <w:p>
            <w:r>
              <w:rPr>
                <w:b/>
                <w:color w:val="FFFFFF"/>
                <w:sz w:val="19"/>
              </w:rPr>
              <w:t>Reconocimiento</w:t>
            </w:r>
          </w:p>
        </w:tc>
      </w:tr>
      <w:tr>
        <w:tc>
          <w:tcPr>
            <w:tcW w:type="dxa" w:w="1728"/>
            <w:shd w:fill="FFFBEB"/>
            <w:tcMar>
              <w:top w:w="80" w:type="dxa"/>
              <w:bottom w:w="80" w:type="dxa"/>
              <w:left w:w="100" w:type="dxa"/>
              <w:right w:w="100" w:type="dxa"/>
            </w:tcMar>
          </w:tcPr>
          <w:p>
            <w:r>
              <w:rPr>
                <w:b/>
                <w:color w:val="0F172A"/>
                <w:sz w:val="19"/>
              </w:rPr>
              <w:t>🥇 1.º Lugar</w:t>
            </w:r>
          </w:p>
        </w:tc>
        <w:tc>
          <w:tcPr>
            <w:tcW w:type="dxa" w:w="2592"/>
            <w:shd w:fill="FFFBEB"/>
            <w:tcMar>
              <w:top w:w="80" w:type="dxa"/>
              <w:bottom w:w="80" w:type="dxa"/>
              <w:left w:w="100" w:type="dxa"/>
              <w:right w:w="100" w:type="dxa"/>
            </w:tcMar>
          </w:tcPr>
          <w:p>
            <w:r>
              <w:rPr>
                <w:b/>
                <w:color w:val="D97706"/>
                <w:sz w:val="19"/>
              </w:rPr>
              <w:t>★ GRAN CAMPEÓN 2026 ★</w:t>
            </w:r>
          </w:p>
        </w:tc>
        <w:tc>
          <w:tcPr>
            <w:tcW w:type="dxa" w:w="2592"/>
            <w:shd w:fill="FFFBEB"/>
            <w:tcMar>
              <w:top w:w="80" w:type="dxa"/>
              <w:bottom w:w="80" w:type="dxa"/>
              <w:left w:w="100" w:type="dxa"/>
              <w:right w:w="100" w:type="dxa"/>
            </w:tcMar>
          </w:tcPr>
          <w:p>
            <w:r>
              <w:rPr>
                <w:b/>
                <w:color w:val="166534"/>
                <w:sz w:val="19"/>
              </w:rPr>
              <w:t>Bs. 500 en efectivo</w:t>
            </w:r>
          </w:p>
        </w:tc>
        <w:tc>
          <w:tcPr>
            <w:tcW w:type="dxa" w:w="2592"/>
            <w:shd w:fill="FFFBEB"/>
            <w:tcMar>
              <w:top w:w="80" w:type="dxa"/>
              <w:bottom w:w="80" w:type="dxa"/>
              <w:left w:w="100" w:type="dxa"/>
              <w:right w:w="100" w:type="dxa"/>
            </w:tcMar>
          </w:tcPr>
          <w:p>
            <w:r>
              <w:rPr>
                <w:color w:val="1E293B"/>
                <w:sz w:val="19"/>
              </w:rPr>
              <w:t>Certificado de Honor y Trofeo</w:t>
            </w:r>
          </w:p>
        </w:tc>
      </w:tr>
      <w:tr>
        <w:tc>
          <w:tcPr>
            <w:tcW w:type="dxa" w:w="1728"/>
            <w:shd w:fill="F8FAFC"/>
            <w:tcMar>
              <w:top w:w="80" w:type="dxa"/>
              <w:bottom w:w="80" w:type="dxa"/>
              <w:left w:w="100" w:type="dxa"/>
              <w:right w:w="100" w:type="dxa"/>
            </w:tcMar>
          </w:tcPr>
          <w:p>
            <w:r>
              <w:rPr>
                <w:b/>
                <w:color w:val="0F172A"/>
                <w:sz w:val="19"/>
              </w:rPr>
              <w:t>🥈 2.º Lugar</w:t>
            </w:r>
          </w:p>
        </w:tc>
        <w:tc>
          <w:tcPr>
            <w:tcW w:type="dxa" w:w="2592"/>
            <w:shd w:fill="F8FAFC"/>
            <w:tcMar>
              <w:top w:w="80" w:type="dxa"/>
              <w:bottom w:w="80" w:type="dxa"/>
              <w:left w:w="100" w:type="dxa"/>
              <w:right w:w="100" w:type="dxa"/>
            </w:tcMar>
          </w:tcPr>
          <w:p>
            <w:r>
              <w:rPr>
                <w:b/>
                <w:color w:val="0284C7"/>
                <w:sz w:val="19"/>
              </w:rPr>
              <w:t>Segundo Lugar Oficial</w:t>
            </w:r>
          </w:p>
        </w:tc>
        <w:tc>
          <w:tcPr>
            <w:tcW w:type="dxa" w:w="2592"/>
            <w:shd w:fill="F8FAFC"/>
            <w:tcMar>
              <w:top w:w="80" w:type="dxa"/>
              <w:bottom w:w="80" w:type="dxa"/>
              <w:left w:w="100" w:type="dxa"/>
              <w:right w:w="100" w:type="dxa"/>
            </w:tcMar>
          </w:tcPr>
          <w:p>
            <w:r>
              <w:rPr>
                <w:b/>
                <w:color w:val="166534"/>
                <w:sz w:val="19"/>
              </w:rPr>
              <w:t>Bs. 300 en efectivo</w:t>
            </w:r>
          </w:p>
        </w:tc>
        <w:tc>
          <w:tcPr>
            <w:tcW w:type="dxa" w:w="2592"/>
            <w:shd w:fill="F8FAFC"/>
            <w:tcMar>
              <w:top w:w="80" w:type="dxa"/>
              <w:bottom w:w="80" w:type="dxa"/>
              <w:left w:w="100" w:type="dxa"/>
              <w:right w:w="100" w:type="dxa"/>
            </w:tcMar>
          </w:tcPr>
          <w:p>
            <w:r>
              <w:rPr>
                <w:color w:val="1E293B"/>
                <w:sz w:val="19"/>
              </w:rPr>
              <w:t>Certificado de Honor</w:t>
            </w:r>
          </w:p>
        </w:tc>
      </w:tr>
      <w:tr>
        <w:tc>
          <w:tcPr>
            <w:tcW w:type="dxa" w:w="1728"/>
            <w:shd w:fill="FFFFFF"/>
            <w:tcMar>
              <w:top w:w="80" w:type="dxa"/>
              <w:bottom w:w="80" w:type="dxa"/>
              <w:left w:w="100" w:type="dxa"/>
              <w:right w:w="100" w:type="dxa"/>
            </w:tcMar>
          </w:tcPr>
          <w:p>
            <w:r>
              <w:rPr>
                <w:b/>
                <w:color w:val="0F172A"/>
                <w:sz w:val="19"/>
              </w:rPr>
              <w:t>🥉 3.º Lugar</w:t>
            </w:r>
          </w:p>
        </w:tc>
        <w:tc>
          <w:tcPr>
            <w:tcW w:type="dxa" w:w="2592"/>
            <w:shd w:fill="FFFFFF"/>
            <w:tcMar>
              <w:top w:w="80" w:type="dxa"/>
              <w:bottom w:w="80" w:type="dxa"/>
              <w:left w:w="100" w:type="dxa"/>
              <w:right w:w="100" w:type="dxa"/>
            </w:tcMar>
          </w:tcPr>
          <w:p>
            <w:r>
              <w:rPr>
                <w:b/>
                <w:color w:val="0284C7"/>
                <w:sz w:val="19"/>
              </w:rPr>
              <w:t>Tercer Lugar Oficial</w:t>
            </w:r>
          </w:p>
        </w:tc>
        <w:tc>
          <w:tcPr>
            <w:tcW w:type="dxa" w:w="2592"/>
            <w:shd w:fill="FFFFFF"/>
            <w:tcMar>
              <w:top w:w="80" w:type="dxa"/>
              <w:bottom w:w="80" w:type="dxa"/>
              <w:left w:w="100" w:type="dxa"/>
              <w:right w:w="100" w:type="dxa"/>
            </w:tcMar>
          </w:tcPr>
          <w:p>
            <w:r>
              <w:rPr>
                <w:b/>
                <w:color w:val="166534"/>
                <w:sz w:val="19"/>
              </w:rPr>
              <w:t>Bs. 150 en efectivo</w:t>
            </w:r>
          </w:p>
        </w:tc>
        <w:tc>
          <w:tcPr>
            <w:tcW w:type="dxa" w:w="2592"/>
            <w:shd w:fill="FFFFFF"/>
            <w:tcMar>
              <w:top w:w="80" w:type="dxa"/>
              <w:bottom w:w="80" w:type="dxa"/>
              <w:left w:w="100" w:type="dxa"/>
              <w:right w:w="100" w:type="dxa"/>
            </w:tcMar>
          </w:tcPr>
          <w:p>
            <w:r>
              <w:rPr>
                <w:color w:val="1E293B"/>
                <w:sz w:val="19"/>
              </w:rPr>
              <w:t>Certificado de Honor</w:t>
            </w:r>
          </w:p>
        </w:tc>
      </w:tr>
    </w:tbl>
    <w:p>
      <w:pPr>
        <w:spacing w:before="320" w:after="160"/>
      </w:pPr>
      <w:r>
        <w:rPr>
          <w:rFonts w:ascii="Arial" w:hAnsi="Arial"/>
          <w:b/>
          <w:color w:val="0F172A"/>
          <w:sz w:val="30"/>
        </w:rPr>
        <w:t>8. PREGUNTAS FRECUENTES Y SOPORTE TÉCNICO</w:t>
      </w:r>
    </w:p>
    <w:p>
      <w:pPr>
        <w:spacing w:before="80" w:after="20"/>
      </w:pPr>
      <w:r>
        <w:rPr>
          <w:b/>
          <w:color w:val="0F172A"/>
          <w:sz w:val="20"/>
        </w:rPr>
        <w:t>❓ ¿Qué sucede si un jurado pierde la conexión WiFi o de datos móviles durante la evaluación?</w:t>
      </w:r>
    </w:p>
    <w:p>
      <w:pPr>
        <w:spacing w:before="0" w:after="120"/>
      </w:pPr>
      <w:r>
        <w:rPr>
          <w:color w:val="1E293B"/>
          <w:sz w:val="19"/>
        </w:rPr>
        <w:t>➜ El sistema almacena las calificaciones localmente en la memoria segura del navegador. Al restablecerse la conexión, los datos se sincronizan sin ninguna pérdida. Se recomienda a los jurados no borrar el historial del navegador durante el evento.</w:t>
      </w:r>
    </w:p>
    <w:p>
      <w:pPr>
        <w:spacing w:before="80" w:after="20"/>
      </w:pPr>
      <w:r>
        <w:rPr>
          <w:b/>
          <w:color w:val="0F172A"/>
          <w:sz w:val="20"/>
        </w:rPr>
        <w:t>❓ ¿Cómo sabe un grupo cuándo ha terminado de ser calificado?</w:t>
      </w:r>
    </w:p>
    <w:p>
      <w:pPr>
        <w:spacing w:before="0" w:after="120"/>
      </w:pPr>
      <w:r>
        <w:rPr>
          <w:color w:val="1E293B"/>
          <w:sz w:val="19"/>
        </w:rPr>
        <w:t>➜ Al ingresar al Stand Hub de su proyecto, el indicador de avance mostrará: «¡Evaluación Completa! Los 3 Jurados ya calificaron este stand». En ese momento el promedio reflejado es el valor final de la etapa de evaluación.</w:t>
      </w:r>
    </w:p>
    <w:p>
      <w:pPr>
        <w:spacing w:before="80" w:after="20"/>
      </w:pPr>
      <w:r>
        <w:rPr>
          <w:b/>
          <w:color w:val="0F172A"/>
          <w:sz w:val="20"/>
        </w:rPr>
        <w:t>❓ ¿Puede un jurado calificar dos veces el mismo stand?</w:t>
      </w:r>
    </w:p>
    <w:p>
      <w:pPr>
        <w:spacing w:before="0" w:after="120"/>
      </w:pPr>
      <w:r>
        <w:rPr>
          <w:color w:val="1E293B"/>
          <w:sz w:val="19"/>
        </w:rPr>
        <w:t>➜ No. El sistema asocia un único registro por jurado y por stand. Si el jurado vuelve a guardar, el sistema actualiza la calificación anterior en lugar de duplicarla.</w:t>
      </w:r>
    </w:p>
    <w:p>
      <w:pPr>
        <w:spacing w:before="80" w:after="20"/>
      </w:pPr>
      <w:r>
        <w:rPr>
          <w:b/>
          <w:color w:val="0F172A"/>
          <w:sz w:val="20"/>
        </w:rPr>
        <w:t>❓ ¿Cómo se exportan los respaldos para las actas impresas?</w:t>
      </w:r>
    </w:p>
    <w:p>
      <w:pPr>
        <w:spacing w:before="0" w:after="120"/>
      </w:pPr>
      <w:r>
        <w:rPr>
          <w:color w:val="1E293B"/>
          <w:sz w:val="19"/>
        </w:rPr>
        <w:t>➜ El Administrador debe presionar «Exportar a CSV». El archivo descargado puede abrirse directamente en Excel, imprimirse y ser firmado físicamente por la directiva del CEA y los 3 jurados.</w:t>
      </w:r>
    </w:p>
    <w:p>
      <w:pPr>
        <w:spacing w:before="400"/>
        <w:jc w:val="center"/>
      </w:pPr>
      <w:r>
        <w:rPr>
          <w:b/>
          <w:color w:val="475569"/>
          <w:sz w:val="19"/>
        </w:rPr>
        <w:t>CEA «Prof. Herman Ortiz Camargo» • Carrera de Sistemas Informáticos</w:t>
        <w:br/>
        <w:t>Comisión Organizadora del Concurso de Proyectos • Pailón, Gestión 2026</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right"/>
    </w:pPr>
    <w:r>
      <w:rPr>
        <w:rFonts w:ascii="Calibri" w:hAnsi="Calibri"/>
        <w:color w:val="94A3B8"/>
        <w:sz w:val="17"/>
      </w:rPr>
      <w:t>CEA 'Prof. Herman Ortiz Camargo' • Carrera de Sistemas Informáticos • Gestión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