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CA98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技术方案评审智能体需求</w:t>
      </w:r>
    </w:p>
    <w:p w14:paraId="2C676A03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背景</w:t>
      </w:r>
    </w:p>
    <w:p w14:paraId="694AE0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技术方案是我行软硬件资产变更的决策依据，技术方案一般由需求或项目驱动，由软件中心项目组按统一规范起草，经软件中心内部评审，通过后，再由金科部组织组织级评审，每项决策都需要经过需求相关的业务部门、金科部、数据中心等相关部门的联合评审，评审周期一般都要一个月以上，为在不降低评审质量的前提下，如何提高评审效率，特此提出智能体需求。</w:t>
      </w:r>
    </w:p>
    <w:p w14:paraId="0BC05132">
      <w:pPr>
        <w:rPr>
          <w:rFonts w:hint="default"/>
          <w:lang w:val="en-US" w:eastAsia="zh-CN"/>
        </w:rPr>
      </w:pPr>
    </w:p>
    <w:p w14:paraId="50BF3502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业务目标</w:t>
      </w:r>
    </w:p>
    <w:p w14:paraId="3777087A">
      <w:pPr>
        <w:numPr>
          <w:ilvl w:val="0"/>
          <w:numId w:val="1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提高技术方案评审效率</w:t>
      </w:r>
    </w:p>
    <w:p w14:paraId="3029B474">
      <w:pPr>
        <w:numPr>
          <w:ilvl w:val="1"/>
          <w:numId w:val="1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技术方案评审周期逐步降低，软件中心内部降低到2周以内，组织级评审周期降低到1个月内。</w:t>
      </w:r>
    </w:p>
    <w:p w14:paraId="40C2CF54">
      <w:pPr>
        <w:numPr>
          <w:ilvl w:val="1"/>
          <w:numId w:val="1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减少技术方案版本修改次数，平均修改次数不超过3次</w:t>
      </w:r>
    </w:p>
    <w:p w14:paraId="588FE3F3">
      <w:pPr>
        <w:numPr>
          <w:ilvl w:val="1"/>
          <w:numId w:val="1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企业重点评审规则必须严格遵守，禁止出现因违背企业重点规则而被组织级退回修改的情况，例如信创技术栈、按系统级别规定的最低部署架构要求（同城/异地，跨云/单云，双活/热备，数据级备份）、跨系统直连数据库等。</w:t>
      </w:r>
    </w:p>
    <w:p w14:paraId="638F1161">
      <w:pPr>
        <w:numPr>
          <w:ilvl w:val="0"/>
          <w:numId w:val="1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确保技术方案评审质量，具体评估评审质量指标如下</w:t>
      </w:r>
    </w:p>
    <w:p w14:paraId="268E234D">
      <w:pPr>
        <w:numPr>
          <w:ilvl w:val="1"/>
          <w:numId w:val="1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评审问题数量</w:t>
      </w:r>
    </w:p>
    <w:p w14:paraId="11078265">
      <w:pPr>
        <w:numPr>
          <w:ilvl w:val="1"/>
          <w:numId w:val="1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每个评审问题对应修改章节的数量和字数</w:t>
      </w:r>
    </w:p>
    <w:p w14:paraId="51CECB04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需求描述</w:t>
      </w:r>
    </w:p>
    <w:p w14:paraId="0A3868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技术方案获取</w:t>
      </w:r>
    </w:p>
    <w:p w14:paraId="18BAF73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技术方案重要内容提取与核实</w:t>
      </w:r>
    </w:p>
    <w:p w14:paraId="6558C467">
      <w:pPr>
        <w:rPr>
          <w:rFonts w:hint="default"/>
          <w:lang w:val="en-US" w:eastAsia="zh-CN"/>
        </w:rPr>
      </w:pPr>
      <w:bookmarkStart w:id="0" w:name="_GoBack"/>
      <w:bookmarkEnd w:id="0"/>
    </w:p>
    <w:p w14:paraId="2C97B780">
      <w:pPr>
        <w:rPr>
          <w:rFonts w:hint="default"/>
          <w:lang w:val="en-US" w:eastAsia="zh-CN"/>
        </w:rPr>
      </w:pPr>
    </w:p>
    <w:p w14:paraId="76A8BE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部署架构识别内容：</w:t>
      </w:r>
    </w:p>
    <w:p w14:paraId="685310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A\B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0"/>
        <w:gridCol w:w="2840"/>
      </w:tblGrid>
      <w:tr w14:paraId="66BD9E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7B47E5B5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系统等级 </w:t>
            </w:r>
          </w:p>
        </w:tc>
        <w:tc>
          <w:tcPr>
            <w:tcW w:w="2840" w:type="dxa"/>
          </w:tcPr>
          <w:p w14:paraId="3537EDC1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总行系统</w:t>
            </w:r>
          </w:p>
        </w:tc>
        <w:tc>
          <w:tcPr>
            <w:tcW w:w="2840" w:type="dxa"/>
          </w:tcPr>
          <w:p w14:paraId="4383544A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分行、子公司</w:t>
            </w:r>
          </w:p>
        </w:tc>
      </w:tr>
      <w:tr w14:paraId="10AD29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063CEE5F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A/B</w:t>
            </w:r>
          </w:p>
        </w:tc>
        <w:tc>
          <w:tcPr>
            <w:tcW w:w="2840" w:type="dxa"/>
          </w:tcPr>
          <w:p w14:paraId="63602A68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必须同城+异地 </w:t>
            </w:r>
          </w:p>
          <w:p w14:paraId="36C36044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云上</w:t>
            </w:r>
          </w:p>
          <w:p w14:paraId="716C8C68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同城：跨云双活/跨云热备</w:t>
            </w:r>
          </w:p>
          <w:p w14:paraId="7EDD2D25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异地：多云多活/多云热备</w:t>
            </w:r>
          </w:p>
          <w:p w14:paraId="1E0F0928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云下</w:t>
            </w:r>
          </w:p>
          <w:p w14:paraId="466E5F3D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同城、异地：双活/热备</w:t>
            </w:r>
          </w:p>
        </w:tc>
        <w:tc>
          <w:tcPr>
            <w:tcW w:w="2840" w:type="dxa"/>
          </w:tcPr>
          <w:p w14:paraId="43FCAA8F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可以仅同城</w:t>
            </w:r>
          </w:p>
          <w:p w14:paraId="354268CE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云上</w:t>
            </w:r>
          </w:p>
          <w:p w14:paraId="17B2A0F3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同城：单云双活/单云热备</w:t>
            </w:r>
          </w:p>
          <w:p w14:paraId="0F800BE0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云下</w:t>
            </w:r>
          </w:p>
          <w:p w14:paraId="0412DC96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同城：双活/热备</w:t>
            </w:r>
          </w:p>
        </w:tc>
      </w:tr>
      <w:tr w14:paraId="63194F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006B845B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</w:t>
            </w:r>
          </w:p>
        </w:tc>
        <w:tc>
          <w:tcPr>
            <w:tcW w:w="2840" w:type="dxa"/>
          </w:tcPr>
          <w:p w14:paraId="4EA17B91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必须同城+异地 </w:t>
            </w:r>
          </w:p>
          <w:p w14:paraId="654FA131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云上</w:t>
            </w:r>
          </w:p>
          <w:p w14:paraId="0450763E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同城：单云双活/单云热备</w:t>
            </w:r>
          </w:p>
          <w:p w14:paraId="2F3E915E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异地：数据级备份</w:t>
            </w:r>
          </w:p>
          <w:p w14:paraId="6A6276A1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云下</w:t>
            </w:r>
          </w:p>
          <w:p w14:paraId="1D4B0E99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同城：双活/热备</w:t>
            </w:r>
          </w:p>
          <w:p w14:paraId="4D96D1D3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异地：数据级备份</w:t>
            </w:r>
          </w:p>
        </w:tc>
        <w:tc>
          <w:tcPr>
            <w:tcW w:w="2840" w:type="dxa"/>
          </w:tcPr>
          <w:p w14:paraId="54A9A2DB">
            <w:pPr>
              <w:rPr>
                <w:rFonts w:hint="eastAsia"/>
                <w:lang w:val="en-US" w:eastAsia="zh-CN"/>
              </w:rPr>
            </w:pPr>
          </w:p>
        </w:tc>
      </w:tr>
      <w:tr w14:paraId="057BD0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46264785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</w:t>
            </w:r>
          </w:p>
        </w:tc>
        <w:tc>
          <w:tcPr>
            <w:tcW w:w="2840" w:type="dxa"/>
          </w:tcPr>
          <w:p w14:paraId="2486DD72"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2840" w:type="dxa"/>
          </w:tcPr>
          <w:p w14:paraId="78A9A2ED">
            <w:pPr>
              <w:rPr>
                <w:rFonts w:hint="eastAsia"/>
                <w:lang w:val="en-US" w:eastAsia="zh-CN"/>
              </w:rPr>
            </w:pPr>
          </w:p>
        </w:tc>
      </w:tr>
    </w:tbl>
    <w:p w14:paraId="7E5E702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Rto；需明确各系统等级的恢复时间目标（RTO）要求，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678CB2"/>
    <w:multiLevelType w:val="multilevel"/>
    <w:tmpl w:val="29678CB2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2E32681"/>
    <w:rsid w:val="04EF43C3"/>
    <w:rsid w:val="2B2663F2"/>
    <w:rsid w:val="31D6746F"/>
    <w:rsid w:val="3FE74124"/>
    <w:rsid w:val="62E32681"/>
    <w:rsid w:val="656446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172</Words>
  <Characters>180</Characters>
  <Lines>0</Lines>
  <Paragraphs>0</Paragraphs>
  <TotalTime>1794</TotalTime>
  <ScaleCrop>false</ScaleCrop>
  <LinksUpToDate>false</LinksUpToDate>
  <CharactersWithSpaces>183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2026-09-30T05:51:00Z</dcterms:created>
  <dc:creator>WPS_1789720466</dc:creator>
  <cp:lastModifiedBy>WPS_1789720466</cp:lastModifiedBy>
  <dcterms:modified xsi:type="dcterms:W3CDTF">2026-10-01T11:49:13Z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2052-12.1.0.28485</vt:lpwstr>
  </property>
  <property fmtid="{D5CDD505-2E9C-101B-9397-08002B2CF9AE}" pid="3" name="ICV">
    <vt:lpwstr>BDBE836A6B654D1CB3B0D1A138E5E7CE_13</vt:lpwstr>
  </property>
  <property fmtid="{D5CDD505-2E9C-101B-9397-08002B2CF9AE}" pid="4" name="KSOTemplateDocerSaveRecord">
    <vt:lpwstr>eyJoZGlkIjoiNzgwZjE3OGIzNmFjNzhjODhmYTc5NDY3ZDc3NzVlYzAiLCJ1c2VySWQiOiIxMzc0NTY2MjUwMzMifQ==</vt:lpwstr>
  </property>
</Properties>
</file>