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rFonts w:ascii="Times New Roman" w:hAnsi="Times New Roman"/>
          <w:b/>
          <w:i w:val="0"/>
          <w:color w:val="000000"/>
          <w:sz w:val="32"/>
        </w:rPr>
        <w:t>LedgerSync Project Study Guide: Distributed Systems</w:t>
      </w:r>
    </w:p>
    <w:p>
      <w:pPr>
        <w:spacing w:before="0" w:after="240" w:line="276" w:lineRule="auto"/>
      </w:pPr>
      <w:r>
        <w:rPr>
          <w:rFonts w:ascii="Times New Roman" w:hAnsi="Times New Roman"/>
          <w:b w:val="0"/>
          <w:i w:val="0"/>
          <w:color w:val="000000"/>
          <w:sz w:val="24"/>
        </w:rPr>
        <w:t>Unit I and Unit II</w:t>
      </w:r>
    </w:p>
    <w:p>
      <w:pPr>
        <w:pStyle w:val="Heading1"/>
        <w:keepNext/>
      </w:pPr>
      <w:r>
        <w:rPr>
          <w:rFonts w:ascii="Times New Roman" w:hAnsi="Times New Roman"/>
          <w:b/>
          <w:color w:val="000000"/>
          <w:sz w:val="32"/>
        </w:rPr>
        <w:t>How to use this guide</w:t>
      </w:r>
    </w:p>
    <w:p>
      <w:pPr>
        <w:spacing w:before="0" w:after="120" w:line="276" w:lineRule="auto"/>
      </w:pPr>
      <w:r>
        <w:rPr>
          <w:rFonts w:ascii="Times New Roman" w:hAnsi="Times New Roman"/>
          <w:b w:val="0"/>
          <w:i w:val="0"/>
          <w:color w:val="000000"/>
          <w:sz w:val="22"/>
        </w:rPr>
        <w:t>This guide explains the syllabus through the LedgerSync project. It is written for revision, viva preparation, and project presentation. The tables show what is implemented, what is only partly implemented, and what is outside the current project scope.</w:t>
      </w:r>
    </w:p>
    <w:p>
      <w:pPr>
        <w:spacing w:before="120" w:after="40" w:line="276" w:lineRule="auto"/>
      </w:pPr>
      <w:r>
        <w:rPr>
          <w:rFonts w:ascii="Times New Roman" w:hAnsi="Times New Roman"/>
          <w:b/>
          <w:color w:val="000000"/>
          <w:sz w:val="24"/>
        </w:rPr>
        <w:t xml:space="preserve">Important: </w:t>
      </w:r>
      <w:r>
        <w:rPr>
          <w:rFonts w:ascii="Times New Roman" w:hAnsi="Times New Roman"/>
          <w:color w:val="000000"/>
          <w:sz w:val="24"/>
        </w:rPr>
        <w:t>Implemented means the feature exists in the repository. Partly implemented means the foundation exists but managed deployment or external approval is still needed. Not used means it is intentionally outside the LedgerSync product boundary.</w:t>
      </w:r>
    </w:p>
    <w:p>
      <w:pPr>
        <w:pStyle w:val="Heading2"/>
        <w:keepNext/>
      </w:pPr>
      <w:r>
        <w:rPr>
          <w:rFonts w:ascii="Times New Roman" w:hAnsi="Times New Roman"/>
          <w:b/>
          <w:color w:val="000000"/>
          <w:sz w:val="28"/>
        </w:rPr>
        <w:t>Quick words in simple language</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tcPr>
          <w:p>
            <w:pPr>
              <w:spacing w:after="0"/>
            </w:pPr>
            <w:r>
              <w:rPr>
                <w:rFonts w:ascii="Times New Roman" w:hAnsi="Times New Roman"/>
                <w:b/>
                <w:color w:val="000000"/>
                <w:sz w:val="17"/>
              </w:rPr>
              <w:t>Word</w:t>
            </w:r>
          </w:p>
        </w:tc>
        <w:tc>
          <w:tcPr>
            <w:tcW w:type="dxa" w:w="6760"/>
            <w:tcMar>
              <w:top w:w="80" w:type="dxa"/>
              <w:start w:w="120" w:type="dxa"/>
              <w:bottom w:w="80" w:type="dxa"/>
              <w:end w:w="120" w:type="dxa"/>
            </w:tcMar>
            <w:vAlign w:val="center"/>
          </w:tcPr>
          <w:p>
            <w:pPr>
              <w:spacing w:after="0"/>
            </w:pPr>
            <w:r>
              <w:rPr>
                <w:rFonts w:ascii="Times New Roman" w:hAnsi="Times New Roman"/>
                <w:b/>
                <w:color w:val="000000"/>
                <w:sz w:val="17"/>
              </w:rPr>
              <w:t>Simple meaning</w:t>
            </w:r>
          </w:p>
        </w:tc>
      </w:tr>
      <w:tr>
        <w:tc>
          <w:tcPr>
            <w:tcW w:type="dxa" w:w="2600"/>
          </w:tcPr>
          <w:p>
            <w:pPr>
              <w:spacing w:after="0" w:line="264" w:lineRule="auto"/>
            </w:pPr>
            <w:r>
              <w:rPr>
                <w:rFonts w:ascii="Times New Roman" w:hAnsi="Times New Roman"/>
                <w:b/>
                <w:color w:val="000000"/>
                <w:sz w:val="16"/>
              </w:rPr>
              <w:t>BFF</w:t>
            </w:r>
          </w:p>
        </w:tc>
        <w:tc>
          <w:tcPr>
            <w:tcW w:type="dxa" w:w="6760"/>
          </w:tcPr>
          <w:p>
            <w:pPr>
              <w:spacing w:after="0" w:line="264" w:lineRule="auto"/>
            </w:pPr>
            <w:r>
              <w:rPr>
                <w:rFonts w:ascii="Times New Roman" w:hAnsi="Times New Roman"/>
                <w:b w:val="0"/>
                <w:color w:val="000000"/>
                <w:sz w:val="16"/>
              </w:rPr>
              <w:t>Backend for Frontend. It is the server layer between the browser and the private LedgerSync API.</w:t>
            </w:r>
          </w:p>
        </w:tc>
      </w:tr>
      <w:tr>
        <w:tc>
          <w:tcPr>
            <w:tcW w:type="dxa" w:w="2600"/>
          </w:tcPr>
          <w:p>
            <w:pPr>
              <w:spacing w:after="0" w:line="264" w:lineRule="auto"/>
            </w:pPr>
            <w:r>
              <w:rPr>
                <w:rFonts w:ascii="Times New Roman" w:hAnsi="Times New Roman"/>
                <w:b/>
                <w:color w:val="000000"/>
                <w:sz w:val="16"/>
              </w:rPr>
              <w:t>PostgreSQL</w:t>
            </w:r>
          </w:p>
        </w:tc>
        <w:tc>
          <w:tcPr>
            <w:tcW w:type="dxa" w:w="6760"/>
          </w:tcPr>
          <w:p>
            <w:pPr>
              <w:spacing w:after="0" w:line="264" w:lineRule="auto"/>
            </w:pPr>
            <w:r>
              <w:rPr>
                <w:rFonts w:ascii="Times New Roman" w:hAnsi="Times New Roman"/>
                <w:b w:val="0"/>
                <w:color w:val="000000"/>
                <w:sz w:val="16"/>
              </w:rPr>
              <w:t>The main database. It keeps the final record of money, accounts, transfers, and audit details.</w:t>
            </w:r>
          </w:p>
        </w:tc>
      </w:tr>
      <w:tr>
        <w:tc>
          <w:tcPr>
            <w:tcW w:type="dxa" w:w="2600"/>
          </w:tcPr>
          <w:p>
            <w:pPr>
              <w:spacing w:after="0" w:line="264" w:lineRule="auto"/>
            </w:pPr>
            <w:r>
              <w:rPr>
                <w:rFonts w:ascii="Times New Roman" w:hAnsi="Times New Roman"/>
                <w:b/>
                <w:color w:val="000000"/>
                <w:sz w:val="16"/>
              </w:rPr>
              <w:t>Redis</w:t>
            </w:r>
          </w:p>
        </w:tc>
        <w:tc>
          <w:tcPr>
            <w:tcW w:type="dxa" w:w="6760"/>
          </w:tcPr>
          <w:p>
            <w:pPr>
              <w:spacing w:after="0" w:line="264" w:lineRule="auto"/>
            </w:pPr>
            <w:r>
              <w:rPr>
                <w:rFonts w:ascii="Times New Roman" w:hAnsi="Times New Roman"/>
                <w:b w:val="0"/>
                <w:color w:val="000000"/>
                <w:sz w:val="16"/>
              </w:rPr>
              <w:t>A fast temporary cache. It helps speed up reads, but it is not the final money record.</w:t>
            </w:r>
          </w:p>
        </w:tc>
      </w:tr>
      <w:tr>
        <w:tc>
          <w:tcPr>
            <w:tcW w:type="dxa" w:w="2600"/>
          </w:tcPr>
          <w:p>
            <w:pPr>
              <w:spacing w:after="0" w:line="264" w:lineRule="auto"/>
            </w:pPr>
            <w:r>
              <w:rPr>
                <w:rFonts w:ascii="Times New Roman" w:hAnsi="Times New Roman"/>
                <w:b/>
                <w:color w:val="000000"/>
                <w:sz w:val="16"/>
              </w:rPr>
              <w:t>Idempotency key</w:t>
            </w:r>
          </w:p>
        </w:tc>
        <w:tc>
          <w:tcPr>
            <w:tcW w:type="dxa" w:w="6760"/>
          </w:tcPr>
          <w:p>
            <w:pPr>
              <w:spacing w:after="0" w:line="264" w:lineRule="auto"/>
            </w:pPr>
            <w:r>
              <w:rPr>
                <w:rFonts w:ascii="Times New Roman" w:hAnsi="Times New Roman"/>
                <w:b w:val="0"/>
                <w:color w:val="000000"/>
                <w:sz w:val="16"/>
              </w:rPr>
              <w:t>A safe retry ID. If the internet fails, the same key helps the system avoid sending money twice.</w:t>
            </w:r>
          </w:p>
        </w:tc>
      </w:tr>
      <w:tr>
        <w:tc>
          <w:tcPr>
            <w:tcW w:type="dxa" w:w="2600"/>
          </w:tcPr>
          <w:p>
            <w:pPr>
              <w:spacing w:after="0" w:line="264" w:lineRule="auto"/>
            </w:pPr>
            <w:r>
              <w:rPr>
                <w:rFonts w:ascii="Times New Roman" w:hAnsi="Times New Roman"/>
                <w:b/>
                <w:color w:val="000000"/>
                <w:sz w:val="16"/>
              </w:rPr>
              <w:t>Double entry</w:t>
            </w:r>
          </w:p>
        </w:tc>
        <w:tc>
          <w:tcPr>
            <w:tcW w:type="dxa" w:w="6760"/>
          </w:tcPr>
          <w:p>
            <w:pPr>
              <w:spacing w:after="0" w:line="264" w:lineRule="auto"/>
            </w:pPr>
            <w:r>
              <w:rPr>
                <w:rFonts w:ascii="Times New Roman" w:hAnsi="Times New Roman"/>
                <w:b w:val="0"/>
                <w:color w:val="000000"/>
                <w:sz w:val="16"/>
              </w:rPr>
              <w:t>Every money movement has two equal entries: one debit and one credit.</w:t>
            </w:r>
          </w:p>
        </w:tc>
      </w:tr>
      <w:tr>
        <w:tc>
          <w:tcPr>
            <w:tcW w:type="dxa" w:w="2600"/>
          </w:tcPr>
          <w:p>
            <w:pPr>
              <w:spacing w:after="0" w:line="264" w:lineRule="auto"/>
            </w:pPr>
            <w:r>
              <w:rPr>
                <w:rFonts w:ascii="Times New Roman" w:hAnsi="Times New Roman"/>
                <w:b/>
                <w:color w:val="000000"/>
                <w:sz w:val="16"/>
              </w:rPr>
              <w:t>Outbox</w:t>
            </w:r>
          </w:p>
        </w:tc>
        <w:tc>
          <w:tcPr>
            <w:tcW w:type="dxa" w:w="6760"/>
          </w:tcPr>
          <w:p>
            <w:pPr>
              <w:spacing w:after="0" w:line="264" w:lineRule="auto"/>
            </w:pPr>
            <w:r>
              <w:rPr>
                <w:rFonts w:ascii="Times New Roman" w:hAnsi="Times New Roman"/>
                <w:b w:val="0"/>
                <w:color w:val="000000"/>
                <w:sz w:val="16"/>
              </w:rPr>
              <w:t>A safely saved list of messages that the worker sends after a financial action is completed.</w:t>
            </w:r>
          </w:p>
        </w:tc>
      </w:tr>
      <w:tr>
        <w:tc>
          <w:tcPr>
            <w:tcW w:type="dxa" w:w="2600"/>
          </w:tcPr>
          <w:p>
            <w:pPr>
              <w:spacing w:after="0" w:line="264" w:lineRule="auto"/>
            </w:pPr>
            <w:r>
              <w:rPr>
                <w:rFonts w:ascii="Times New Roman" w:hAnsi="Times New Roman"/>
                <w:b/>
                <w:color w:val="000000"/>
                <w:sz w:val="16"/>
              </w:rPr>
              <w:t>Reconciliation</w:t>
            </w:r>
          </w:p>
        </w:tc>
        <w:tc>
          <w:tcPr>
            <w:tcW w:type="dxa" w:w="6760"/>
          </w:tcPr>
          <w:p>
            <w:pPr>
              <w:spacing w:after="0" w:line="264" w:lineRule="auto"/>
            </w:pPr>
            <w:r>
              <w:rPr>
                <w:rFonts w:ascii="Times New Roman" w:hAnsi="Times New Roman"/>
                <w:b w:val="0"/>
                <w:color w:val="000000"/>
                <w:sz w:val="16"/>
              </w:rPr>
              <w:t>Checking whether the shown balance and the saved ledger records match.</w:t>
            </w:r>
          </w:p>
        </w:tc>
      </w:tr>
      <w:tr>
        <w:tc>
          <w:tcPr>
            <w:tcW w:type="dxa" w:w="2600"/>
          </w:tcPr>
          <w:p>
            <w:pPr>
              <w:spacing w:after="0" w:line="264" w:lineRule="auto"/>
            </w:pPr>
            <w:r>
              <w:rPr>
                <w:rFonts w:ascii="Times New Roman" w:hAnsi="Times New Roman"/>
                <w:b/>
                <w:color w:val="000000"/>
                <w:sz w:val="16"/>
              </w:rPr>
              <w:t>Tenant</w:t>
            </w:r>
          </w:p>
        </w:tc>
        <w:tc>
          <w:tcPr>
            <w:tcW w:type="dxa" w:w="6760"/>
          </w:tcPr>
          <w:p>
            <w:pPr>
              <w:spacing w:after="0" w:line="264" w:lineRule="auto"/>
            </w:pPr>
            <w:r>
              <w:rPr>
                <w:rFonts w:ascii="Times New Roman" w:hAnsi="Times New Roman"/>
                <w:b w:val="0"/>
                <w:color w:val="000000"/>
                <w:sz w:val="16"/>
              </w:rPr>
              <w:t>One customer's separate workspace in LedgerSync.</w:t>
            </w:r>
          </w:p>
        </w:tc>
      </w:tr>
      <w:tr>
        <w:tc>
          <w:tcPr>
            <w:tcW w:type="dxa" w:w="2600"/>
          </w:tcPr>
          <w:p>
            <w:pPr>
              <w:spacing w:after="0" w:line="264" w:lineRule="auto"/>
            </w:pPr>
            <w:r>
              <w:rPr>
                <w:rFonts w:ascii="Times New Roman" w:hAnsi="Times New Roman"/>
                <w:b/>
                <w:color w:val="000000"/>
                <w:sz w:val="16"/>
              </w:rPr>
              <w:t>OIDC</w:t>
            </w:r>
          </w:p>
        </w:tc>
        <w:tc>
          <w:tcPr>
            <w:tcW w:type="dxa" w:w="6760"/>
          </w:tcPr>
          <w:p>
            <w:pPr>
              <w:spacing w:after="0" w:line="264" w:lineRule="auto"/>
            </w:pPr>
            <w:r>
              <w:rPr>
                <w:rFonts w:ascii="Times New Roman" w:hAnsi="Times New Roman"/>
                <w:b w:val="0"/>
                <w:color w:val="000000"/>
                <w:sz w:val="16"/>
              </w:rPr>
              <w:t>A secure standard used to check who the user is and what they are allowed to do.</w:t>
            </w:r>
          </w:p>
        </w:tc>
      </w:tr>
    </w:tbl>
    <w:p>
      <w:pPr>
        <w:spacing w:before="0" w:after="80" w:line="276" w:lineRule="auto"/>
      </w:pPr>
      <w:r>
        <w:rPr>
          <w:rFonts w:ascii="Times New Roman" w:hAnsi="Times New Roman"/>
          <w:b w:val="0"/>
          <w:i w:val="0"/>
          <w:color w:val="000000"/>
          <w:sz w:val="4"/>
        </w:rPr>
      </w:r>
    </w:p>
    <w:p>
      <w:pPr>
        <w:pStyle w:val="Heading2"/>
        <w:keepNext/>
      </w:pPr>
      <w:r>
        <w:rPr>
          <w:rFonts w:ascii="Times New Roman" w:hAnsi="Times New Roman"/>
          <w:b/>
          <w:color w:val="000000"/>
          <w:sz w:val="28"/>
        </w:rPr>
        <w:t>LedgerSync project snapshot</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vAlign w:val="center"/>
          </w:tcPr>
          <w:p>
            <w:pPr>
              <w:spacing w:after="0"/>
            </w:pPr>
            <w:r>
              <w:rPr>
                <w:rFonts w:ascii="Times New Roman" w:hAnsi="Times New Roman"/>
                <w:b/>
                <w:color w:val="000000"/>
                <w:sz w:val="17"/>
              </w:rPr>
              <w:t>Area</w:t>
            </w:r>
          </w:p>
        </w:tc>
        <w:tc>
          <w:tcPr>
            <w:tcW w:type="dxa" w:w="6960"/>
            <w:tcMar>
              <w:top w:w="80" w:type="dxa"/>
              <w:start w:w="120" w:type="dxa"/>
              <w:bottom w:w="80" w:type="dxa"/>
              <w:end w:w="120" w:type="dxa"/>
            </w:tcMar>
            <w:vAlign w:val="center"/>
          </w:tcPr>
          <w:p>
            <w:pPr>
              <w:spacing w:after="0"/>
            </w:pPr>
            <w:r>
              <w:rPr>
                <w:rFonts w:ascii="Times New Roman" w:hAnsi="Times New Roman"/>
                <w:b/>
                <w:color w:val="000000"/>
                <w:sz w:val="17"/>
              </w:rPr>
              <w:t>LedgerSync implementation</w:t>
            </w:r>
          </w:p>
        </w:tc>
      </w:tr>
      <w:tr>
        <w:tc>
          <w:tcPr>
            <w:tcW w:type="dxa" w:w="2400"/>
          </w:tcPr>
          <w:p>
            <w:pPr>
              <w:spacing w:after="0" w:line="264" w:lineRule="auto"/>
            </w:pPr>
            <w:r>
              <w:rPr>
                <w:rFonts w:ascii="Times New Roman" w:hAnsi="Times New Roman"/>
                <w:b/>
                <w:color w:val="000000"/>
                <w:sz w:val="16"/>
              </w:rPr>
              <w:t>Purpose</w:t>
            </w:r>
          </w:p>
        </w:tc>
        <w:tc>
          <w:tcPr>
            <w:tcW w:type="dxa" w:w="6960"/>
          </w:tcPr>
          <w:p>
            <w:pPr>
              <w:spacing w:after="0" w:line="264" w:lineRule="auto"/>
            </w:pPr>
            <w:r>
              <w:rPr>
                <w:rFonts w:ascii="Times New Roman" w:hAnsi="Times New Roman"/>
                <w:b w:val="0"/>
                <w:color w:val="000000"/>
                <w:sz w:val="16"/>
              </w:rPr>
              <w:t>An API-first, closed-loop financial ledger platform for exact internal same-currency transfers between customer workspace ledger accounts.</w:t>
            </w:r>
          </w:p>
        </w:tc>
      </w:tr>
      <w:tr>
        <w:tc>
          <w:tcPr>
            <w:tcW w:type="dxa" w:w="2400"/>
          </w:tcPr>
          <w:p>
            <w:pPr>
              <w:spacing w:after="0" w:line="264" w:lineRule="auto"/>
            </w:pPr>
            <w:r>
              <w:rPr>
                <w:rFonts w:ascii="Times New Roman" w:hAnsi="Times New Roman"/>
                <w:b/>
                <w:color w:val="000000"/>
                <w:sz w:val="16"/>
              </w:rPr>
              <w:t>Financial authority</w:t>
            </w:r>
          </w:p>
        </w:tc>
        <w:tc>
          <w:tcPr>
            <w:tcW w:type="dxa" w:w="6960"/>
          </w:tcPr>
          <w:p>
            <w:pPr>
              <w:spacing w:after="0" w:line="264" w:lineRule="auto"/>
            </w:pPr>
            <w:r>
              <w:rPr>
                <w:rFonts w:ascii="Times New Roman" w:hAnsi="Times New Roman"/>
                <w:b w:val="0"/>
                <w:color w:val="000000"/>
                <w:sz w:val="16"/>
              </w:rPr>
              <w:t>PostgreSQL stores cannot be changed later journals, double-entry postings, idempotency outcomes, audits, balance versions, reconciliation, and transactional outbox (a saved list of messages to send later) records.</w:t>
            </w:r>
          </w:p>
        </w:tc>
      </w:tr>
      <w:tr>
        <w:tc>
          <w:tcPr>
            <w:tcW w:type="dxa" w:w="2400"/>
          </w:tcPr>
          <w:p>
            <w:pPr>
              <w:spacing w:after="0" w:line="264" w:lineRule="auto"/>
            </w:pPr>
            <w:r>
              <w:rPr>
                <w:rFonts w:ascii="Times New Roman" w:hAnsi="Times New Roman"/>
                <w:b/>
                <w:color w:val="000000"/>
                <w:sz w:val="16"/>
              </w:rPr>
              <w:t>Acceleration layer</w:t>
            </w:r>
          </w:p>
        </w:tc>
        <w:tc>
          <w:tcPr>
            <w:tcW w:type="dxa" w:w="6960"/>
          </w:tcPr>
          <w:p>
            <w:pPr>
              <w:spacing w:after="0" w:line="264" w:lineRule="auto"/>
            </w:pPr>
            <w:r>
              <w:rPr>
                <w:rFonts w:ascii="Times New Roman" w:hAnsi="Times New Roman"/>
                <w:b w:val="0"/>
                <w:color w:val="000000"/>
                <w:sz w:val="16"/>
              </w:rPr>
              <w:t>Redis provides disposable caching and event transport support. Its loss cannot change financial truth.</w:t>
            </w:r>
          </w:p>
        </w:tc>
      </w:tr>
      <w:tr>
        <w:tc>
          <w:tcPr>
            <w:tcW w:type="dxa" w:w="2400"/>
          </w:tcPr>
          <w:p>
            <w:pPr>
              <w:spacing w:after="0" w:line="264" w:lineRule="auto"/>
            </w:pPr>
            <w:r>
              <w:rPr>
                <w:rFonts w:ascii="Times New Roman" w:hAnsi="Times New Roman"/>
                <w:b/>
                <w:color w:val="000000"/>
                <w:sz w:val="16"/>
              </w:rPr>
              <w:t>Primary users</w:t>
            </w:r>
          </w:p>
        </w:tc>
        <w:tc>
          <w:tcPr>
            <w:tcW w:type="dxa" w:w="6960"/>
          </w:tcPr>
          <w:p>
            <w:pPr>
              <w:spacing w:after="0" w:line="264" w:lineRule="auto"/>
            </w:pPr>
            <w:r>
              <w:rPr>
                <w:rFonts w:ascii="Times New Roman" w:hAnsi="Times New Roman"/>
                <w:b w:val="0"/>
                <w:color w:val="000000"/>
                <w:sz w:val="16"/>
              </w:rPr>
              <w:t>Fintech/vertical-SaaS engineers integrating APIs and finance/operations teams investigating balances and transfers.</w:t>
            </w:r>
          </w:p>
        </w:tc>
      </w:tr>
      <w:tr>
        <w:tc>
          <w:tcPr>
            <w:tcW w:type="dxa" w:w="2400"/>
          </w:tcPr>
          <w:p>
            <w:pPr>
              <w:spacing w:after="0" w:line="264" w:lineRule="auto"/>
            </w:pPr>
            <w:r>
              <w:rPr>
                <w:rFonts w:ascii="Times New Roman" w:hAnsi="Times New Roman"/>
                <w:b/>
                <w:color w:val="000000"/>
                <w:sz w:val="16"/>
              </w:rPr>
              <w:t>Local runtime</w:t>
            </w:r>
          </w:p>
        </w:tc>
        <w:tc>
          <w:tcPr>
            <w:tcW w:type="dxa" w:w="6960"/>
          </w:tcPr>
          <w:p>
            <w:pPr>
              <w:spacing w:after="0" w:line="264" w:lineRule="auto"/>
            </w:pPr>
            <w:r>
              <w:rPr>
                <w:rFonts w:ascii="Times New Roman" w:hAnsi="Times New Roman"/>
                <w:b w:val="0"/>
                <w:color w:val="000000"/>
                <w:sz w:val="16"/>
              </w:rPr>
              <w:t>Docker Compose launches the Next.js console/BFF, Go API, outbox worker, PostgreSQL, Redis, migrations, and deterministic demo initialization.</w:t>
            </w:r>
          </w:p>
        </w:tc>
      </w:tr>
      <w:tr>
        <w:tc>
          <w:tcPr>
            <w:tcW w:type="dxa" w:w="2400"/>
          </w:tcPr>
          <w:p>
            <w:pPr>
              <w:spacing w:after="0" w:line="264" w:lineRule="auto"/>
            </w:pPr>
            <w:r>
              <w:rPr>
                <w:rFonts w:ascii="Times New Roman" w:hAnsi="Times New Roman"/>
                <w:b/>
                <w:color w:val="000000"/>
                <w:sz w:val="16"/>
              </w:rPr>
              <w:t>Scope boundary</w:t>
            </w:r>
          </w:p>
        </w:tc>
        <w:tc>
          <w:tcPr>
            <w:tcW w:type="dxa" w:w="6960"/>
          </w:tcPr>
          <w:p>
            <w:pPr>
              <w:spacing w:after="0" w:line="264" w:lineRule="auto"/>
            </w:pPr>
            <w:r>
              <w:rPr>
                <w:rFonts w:ascii="Times New Roman" w:hAnsi="Times New Roman"/>
                <w:b w:val="0"/>
                <w:color w:val="000000"/>
                <w:sz w:val="16"/>
              </w:rPr>
              <w:t>Internal INR ledger transfers only; no bank rails, cards, FX, custody, external settlement, P2P transfers, WebRTC, or multimedia service.</w:t>
            </w:r>
          </w:p>
        </w:tc>
      </w:tr>
    </w:tbl>
    <w:p>
      <w:pPr>
        <w:spacing w:before="0" w:after="80" w:line="276" w:lineRule="auto"/>
      </w:pPr>
      <w:r>
        <w:rPr>
          <w:rFonts w:ascii="Times New Roman" w:hAnsi="Times New Roman"/>
          <w:b w:val="0"/>
          <w:i w:val="0"/>
          <w:color w:val="000000"/>
          <w:sz w:val="4"/>
        </w:rPr>
      </w:r>
    </w:p>
    <w:p>
      <w:pPr>
        <w:spacing w:before="0" w:after="120" w:line="276" w:lineRule="auto"/>
      </w:pPr>
      <w:r>
        <w:rPr>
          <w:rFonts w:ascii="Times New Roman" w:hAnsi="Times New Roman"/>
          <w:b w:val="0"/>
          <w:i w:val="0"/>
          <w:color w:val="000000"/>
          <w:sz w:val="22"/>
        </w:rPr>
        <w:t>Recent project updates add clearer first-time-user guidance, plain-language form fields, controlled funding records, transfer corrections, developer credentials, and signed webhook delivery. These improve the project explanation but do not change the main distributed architecture described in this guide.</w:t>
      </w:r>
    </w:p>
    <w:p>
      <w:pPr>
        <w:pStyle w:val="Heading1"/>
        <w:keepNext/>
      </w:pPr>
      <w:r>
        <w:rPr>
          <w:rFonts w:ascii="Times New Roman" w:hAnsi="Times New Roman"/>
          <w:b/>
          <w:color w:val="000000"/>
          <w:sz w:val="32"/>
        </w:rPr>
        <w:t>Unit 1: Introduction to Distributed Systems</w:t>
      </w:r>
    </w:p>
    <w:p>
      <w:pPr>
        <w:spacing w:before="0" w:after="120" w:line="276" w:lineRule="auto"/>
      </w:pPr>
      <w:r>
        <w:rPr>
          <w:rFonts w:ascii="Times New Roman" w:hAnsi="Times New Roman"/>
          <w:b w:val="0"/>
          <w:i/>
          <w:color w:val="000000"/>
          <w:sz w:val="21"/>
        </w:rPr>
        <w:t>Syllabus focus: Definition, goals, types, architectures, design issues, middleware, overview of distributed systems, distributed multimedia systems, model of distributed computations, and virtualization.</w:t>
      </w:r>
    </w:p>
    <w:p>
      <w:pPr>
        <w:pStyle w:val="Heading2"/>
        <w:keepNext/>
      </w:pPr>
      <w:r>
        <w:rPr>
          <w:rFonts w:ascii="Times New Roman" w:hAnsi="Times New Roman"/>
          <w:b/>
          <w:color w:val="000000"/>
          <w:sz w:val="28"/>
        </w:rPr>
        <w:t>1.1 Definition and LedgerSync connection</w:t>
      </w:r>
    </w:p>
    <w:p>
      <w:pPr>
        <w:spacing w:before="0" w:after="120" w:line="276" w:lineRule="auto"/>
      </w:pPr>
      <w:r>
        <w:rPr>
          <w:rFonts w:ascii="Times New Roman" w:hAnsi="Times New Roman"/>
          <w:b w:val="0"/>
          <w:i w:val="0"/>
          <w:color w:val="000000"/>
          <w:sz w:val="22"/>
        </w:rPr>
        <w:t>A distributed system is a set of independent components that coordinate through communication to provide one service. LedgerSync is distributed because its browser console, BFF, API, worker, PostgreSQL, and Redis have separate responsibilities yet together provide one trusted ledger experience.</w:t>
      </w:r>
    </w:p>
    <w:p>
      <w:pPr>
        <w:spacing w:before="120" w:after="40" w:line="276" w:lineRule="auto"/>
      </w:pPr>
      <w:r>
        <w:rPr>
          <w:rFonts w:ascii="Times New Roman" w:hAnsi="Times New Roman"/>
          <w:b/>
          <w:color w:val="000000"/>
          <w:sz w:val="24"/>
        </w:rPr>
        <w:t xml:space="preserve">Exam-ready definition: </w:t>
      </w:r>
      <w:r>
        <w:rPr>
          <w:rFonts w:ascii="Times New Roman" w:hAnsi="Times New Roman"/>
          <w:color w:val="000000"/>
          <w:sz w:val="24"/>
        </w:rPr>
        <w:t>LedgerSync is a client-server, data-centered, event-assisted distributed financial system. It centralizes financial truth in PostgreSQL while separating browser access, private API processing, background delivery, and cache acceleration.</w:t>
      </w:r>
    </w:p>
    <w:p>
      <w:pPr>
        <w:pStyle w:val="Heading2"/>
        <w:keepNext/>
      </w:pPr>
      <w:r>
        <w:rPr>
          <w:rFonts w:ascii="Times New Roman" w:hAnsi="Times New Roman"/>
          <w:b/>
          <w:color w:val="000000"/>
          <w:sz w:val="28"/>
        </w:rPr>
        <w:t>1.2 Concept-to-project mapping</w:t>
      </w:r>
    </w:p>
    <w:tbl>
      <w:tblPr>
        <w:tblStyle w:val="TableGrid"/>
        <w:tblW w:type="dxa" w:w="9360"/>
        <w:jc w:val="left"/>
        <w:tblLayout w:type="fixed"/>
        <w:tblLook w:firstColumn="1" w:firstRow="1" w:lastColumn="0" w:lastRow="0" w:noHBand="0" w:noVBand="1" w:val="04A0"/>
        <w:tblInd w:w="120" w:type="dxa"/>
      </w:tblPr>
      <w:tblGrid>
        <w:gridCol w:w="1400"/>
        <w:gridCol w:w="1550"/>
        <w:gridCol w:w="620"/>
        <w:gridCol w:w="3380"/>
        <w:gridCol w:w="2410"/>
      </w:tblGrid>
      <w:tr>
        <w:trPr>
          <w:tblHeader w:val="true"/>
        </w:trPr>
        <w:tc>
          <w:tcPr>
            <w:tcW w:type="dxa" w:w="1400"/>
            <w:tcMar>
              <w:top w:w="80" w:type="dxa"/>
              <w:start w:w="120" w:type="dxa"/>
              <w:bottom w:w="80" w:type="dxa"/>
              <w:end w:w="120" w:type="dxa"/>
            </w:tcMar>
            <w:vAlign w:val="center"/>
          </w:tcPr>
          <w:p>
            <w:pPr>
              <w:spacing w:after="0"/>
            </w:pPr>
            <w:r>
              <w:rPr>
                <w:rFonts w:ascii="Times New Roman" w:hAnsi="Times New Roman"/>
                <w:b/>
                <w:color w:val="000000"/>
                <w:sz w:val="17"/>
              </w:rPr>
              <w:t>Concept</w:t>
            </w:r>
          </w:p>
        </w:tc>
        <w:tc>
          <w:tcPr>
            <w:tcW w:type="dxa" w:w="1550"/>
            <w:tcMar>
              <w:top w:w="80" w:type="dxa"/>
              <w:start w:w="120" w:type="dxa"/>
              <w:bottom w:w="80" w:type="dxa"/>
              <w:end w:w="120" w:type="dxa"/>
            </w:tcMar>
            <w:vAlign w:val="center"/>
          </w:tcPr>
          <w:p>
            <w:pPr>
              <w:spacing w:after="0"/>
            </w:pPr>
            <w:r>
              <w:rPr>
                <w:rFonts w:ascii="Times New Roman" w:hAnsi="Times New Roman"/>
                <w:b/>
                <w:color w:val="000000"/>
                <w:sz w:val="17"/>
              </w:rPr>
              <w:t>Meaning</w:t>
            </w:r>
          </w:p>
        </w:tc>
        <w:tc>
          <w:tcPr>
            <w:tcW w:type="dxa" w:w="620"/>
            <w:tcMar>
              <w:top w:w="80" w:type="dxa"/>
              <w:start w:w="120" w:type="dxa"/>
              <w:bottom w:w="80" w:type="dxa"/>
              <w:end w:w="120" w:type="dxa"/>
            </w:tcMar>
            <w:vAlign w:val="center"/>
          </w:tcPr>
          <w:p>
            <w:pPr>
              <w:spacing w:after="0"/>
            </w:pPr>
            <w:r>
              <w:rPr>
                <w:rFonts w:ascii="Times New Roman" w:hAnsi="Times New Roman"/>
                <w:b/>
                <w:color w:val="000000"/>
                <w:sz w:val="17"/>
              </w:rPr>
              <w:t>Used?</w:t>
            </w:r>
          </w:p>
        </w:tc>
        <w:tc>
          <w:tcPr>
            <w:tcW w:type="dxa" w:w="3380"/>
            <w:tcMar>
              <w:top w:w="80" w:type="dxa"/>
              <w:start w:w="120" w:type="dxa"/>
              <w:bottom w:w="80" w:type="dxa"/>
              <w:end w:w="120" w:type="dxa"/>
            </w:tcMar>
            <w:vAlign w:val="center"/>
          </w:tcPr>
          <w:p>
            <w:pPr>
              <w:spacing w:after="0"/>
            </w:pPr>
            <w:r>
              <w:rPr>
                <w:rFonts w:ascii="Times New Roman" w:hAnsi="Times New Roman"/>
                <w:b/>
                <w:color w:val="000000"/>
                <w:sz w:val="17"/>
              </w:rPr>
              <w:t>LedgerSync evidence</w:t>
            </w:r>
          </w:p>
        </w:tc>
        <w:tc>
          <w:tcPr>
            <w:tcW w:type="dxa" w:w="2410"/>
            <w:tcMar>
              <w:top w:w="80" w:type="dxa"/>
              <w:start w:w="120" w:type="dxa"/>
              <w:bottom w:w="80" w:type="dxa"/>
              <w:end w:w="120" w:type="dxa"/>
            </w:tcMar>
            <w:vAlign w:val="center"/>
          </w:tcPr>
          <w:p>
            <w:pPr>
              <w:spacing w:after="0"/>
            </w:pPr>
            <w:r>
              <w:rPr>
                <w:rFonts w:ascii="Times New Roman" w:hAnsi="Times New Roman"/>
                <w:b/>
                <w:color w:val="000000"/>
                <w:sz w:val="17"/>
              </w:rPr>
              <w:t>Why it matters</w:t>
            </w:r>
          </w:p>
        </w:tc>
      </w:tr>
      <w:tr>
        <w:tc>
          <w:tcPr>
            <w:tcW w:type="dxa" w:w="1400"/>
          </w:tcPr>
          <w:p>
            <w:pPr>
              <w:spacing w:after="0" w:line="264" w:lineRule="auto"/>
            </w:pPr>
            <w:r>
              <w:rPr>
                <w:rFonts w:ascii="Times New Roman" w:hAnsi="Times New Roman"/>
                <w:b/>
                <w:color w:val="000000"/>
                <w:sz w:val="16"/>
              </w:rPr>
              <w:t>Distributed system</w:t>
            </w:r>
          </w:p>
        </w:tc>
        <w:tc>
          <w:tcPr>
            <w:tcW w:type="dxa" w:w="1550"/>
          </w:tcPr>
          <w:p>
            <w:pPr>
              <w:spacing w:after="0" w:line="264" w:lineRule="auto"/>
            </w:pPr>
            <w:r>
              <w:rPr>
                <w:rFonts w:ascii="Times New Roman" w:hAnsi="Times New Roman"/>
                <w:b w:val="0"/>
                <w:color w:val="000000"/>
                <w:sz w:val="16"/>
              </w:rPr>
              <w:t>Independent components cooperate over a network to provide one service.</w:t>
            </w:r>
          </w:p>
        </w:tc>
        <w:tc>
          <w:tcPr>
            <w:tcW w:type="dxa" w:w="620"/>
          </w:tcPr>
          <w:p>
            <w:pPr>
              <w:spacing w:after="0" w:line="264" w:lineRule="auto"/>
            </w:pPr>
            <w:r>
              <w:rPr>
                <w:rFonts w:ascii="Times New Roman" w:hAnsi="Times New Roman"/>
                <w:b w:val="0"/>
                <w:color w:val="000000"/>
                <w:sz w:val="16"/>
              </w:rPr>
              <w:t>Yes</w:t>
            </w:r>
          </w:p>
        </w:tc>
        <w:tc>
          <w:tcPr>
            <w:tcW w:type="dxa" w:w="3380"/>
          </w:tcPr>
          <w:p>
            <w:pPr>
              <w:spacing w:after="0" w:line="264" w:lineRule="auto"/>
            </w:pPr>
            <w:r>
              <w:rPr>
                <w:rFonts w:ascii="Times New Roman" w:hAnsi="Times New Roman"/>
                <w:b w:val="0"/>
                <w:color w:val="000000"/>
                <w:sz w:val="16"/>
              </w:rPr>
              <w:t>Next.js operator console/BFF, Go API, worker, PostgreSQL, Redis, and Compose runtime.</w:t>
            </w:r>
          </w:p>
        </w:tc>
        <w:tc>
          <w:tcPr>
            <w:tcW w:type="dxa" w:w="2410"/>
          </w:tcPr>
          <w:p>
            <w:pPr>
              <w:spacing w:after="0" w:line="264" w:lineRule="auto"/>
            </w:pPr>
            <w:r>
              <w:rPr>
                <w:rFonts w:ascii="Times New Roman" w:hAnsi="Times New Roman"/>
                <w:b w:val="0"/>
                <w:color w:val="000000"/>
                <w:sz w:val="16"/>
              </w:rPr>
              <w:t>Separates user interaction, safely saved financial processing, cache reads, and background delivery.</w:t>
            </w:r>
          </w:p>
        </w:tc>
      </w:tr>
      <w:tr>
        <w:tc>
          <w:tcPr>
            <w:tcW w:type="dxa" w:w="1400"/>
          </w:tcPr>
          <w:p>
            <w:pPr>
              <w:spacing w:after="0" w:line="264" w:lineRule="auto"/>
            </w:pPr>
            <w:r>
              <w:rPr>
                <w:rFonts w:ascii="Times New Roman" w:hAnsi="Times New Roman"/>
                <w:b/>
                <w:color w:val="000000"/>
                <w:sz w:val="16"/>
              </w:rPr>
              <w:t>Goal: transparency</w:t>
            </w:r>
          </w:p>
        </w:tc>
        <w:tc>
          <w:tcPr>
            <w:tcW w:type="dxa" w:w="1550"/>
          </w:tcPr>
          <w:p>
            <w:pPr>
              <w:spacing w:after="0" w:line="264" w:lineRule="auto"/>
            </w:pPr>
            <w:r>
              <w:rPr>
                <w:rFonts w:ascii="Times New Roman" w:hAnsi="Times New Roman"/>
                <w:b w:val="0"/>
                <w:color w:val="000000"/>
                <w:sz w:val="16"/>
              </w:rPr>
              <w:t>The user should see one coherent system, not its internal service boundaries.</w:t>
            </w:r>
          </w:p>
        </w:tc>
        <w:tc>
          <w:tcPr>
            <w:tcW w:type="dxa" w:w="620"/>
          </w:tcPr>
          <w:p>
            <w:pPr>
              <w:spacing w:after="0" w:line="264" w:lineRule="auto"/>
            </w:pPr>
            <w:r>
              <w:rPr>
                <w:rFonts w:ascii="Times New Roman" w:hAnsi="Times New Roman"/>
                <w:b w:val="0"/>
                <w:color w:val="000000"/>
                <w:sz w:val="16"/>
              </w:rPr>
              <w:t>Yes</w:t>
            </w:r>
          </w:p>
        </w:tc>
        <w:tc>
          <w:tcPr>
            <w:tcW w:type="dxa" w:w="3380"/>
          </w:tcPr>
          <w:p>
            <w:pPr>
              <w:spacing w:after="0" w:line="264" w:lineRule="auto"/>
            </w:pPr>
            <w:r>
              <w:rPr>
                <w:rFonts w:ascii="Times New Roman" w:hAnsi="Times New Roman"/>
                <w:b w:val="0"/>
                <w:color w:val="000000"/>
                <w:sz w:val="16"/>
              </w:rPr>
              <w:t>The operator console exposes one workspace while the BFF calls the private API.</w:t>
            </w:r>
          </w:p>
        </w:tc>
        <w:tc>
          <w:tcPr>
            <w:tcW w:type="dxa" w:w="2410"/>
          </w:tcPr>
          <w:p>
            <w:pPr>
              <w:spacing w:after="0" w:line="264" w:lineRule="auto"/>
            </w:pPr>
            <w:r>
              <w:rPr>
                <w:rFonts w:ascii="Times New Roman" w:hAnsi="Times New Roman"/>
                <w:b w:val="0"/>
                <w:color w:val="000000"/>
                <w:sz w:val="16"/>
              </w:rPr>
              <w:t>Operators investigate a transfer rather than manually coordinating services.</w:t>
            </w:r>
          </w:p>
        </w:tc>
      </w:tr>
      <w:tr>
        <w:tc>
          <w:tcPr>
            <w:tcW w:type="dxa" w:w="1400"/>
          </w:tcPr>
          <w:p>
            <w:pPr>
              <w:spacing w:after="0" w:line="264" w:lineRule="auto"/>
            </w:pPr>
            <w:r>
              <w:rPr>
                <w:rFonts w:ascii="Times New Roman" w:hAnsi="Times New Roman"/>
                <w:b/>
                <w:color w:val="000000"/>
                <w:sz w:val="16"/>
              </w:rPr>
              <w:t>Goal: reliability</w:t>
            </w:r>
          </w:p>
        </w:tc>
        <w:tc>
          <w:tcPr>
            <w:tcW w:type="dxa" w:w="1550"/>
          </w:tcPr>
          <w:p>
            <w:pPr>
              <w:spacing w:after="0" w:line="264" w:lineRule="auto"/>
            </w:pPr>
            <w:r>
              <w:rPr>
                <w:rFonts w:ascii="Times New Roman" w:hAnsi="Times New Roman"/>
                <w:b w:val="0"/>
                <w:color w:val="000000"/>
                <w:sz w:val="16"/>
              </w:rPr>
              <w:t>The system should withstand component and network failures.</w:t>
            </w:r>
          </w:p>
        </w:tc>
        <w:tc>
          <w:tcPr>
            <w:tcW w:type="dxa" w:w="620"/>
          </w:tcPr>
          <w:p>
            <w:pPr>
              <w:spacing w:after="0" w:line="264" w:lineRule="auto"/>
            </w:pPr>
            <w:r>
              <w:rPr>
                <w:rFonts w:ascii="Times New Roman" w:hAnsi="Times New Roman"/>
                <w:b w:val="0"/>
                <w:color w:val="000000"/>
                <w:sz w:val="16"/>
              </w:rPr>
              <w:t>Yes</w:t>
            </w:r>
          </w:p>
        </w:tc>
        <w:tc>
          <w:tcPr>
            <w:tcW w:type="dxa" w:w="3380"/>
          </w:tcPr>
          <w:p>
            <w:pPr>
              <w:spacing w:after="0" w:line="264" w:lineRule="auto"/>
            </w:pPr>
            <w:r>
              <w:rPr>
                <w:rFonts w:ascii="Times New Roman" w:hAnsi="Times New Roman"/>
                <w:b w:val="0"/>
                <w:color w:val="000000"/>
                <w:sz w:val="16"/>
              </w:rPr>
              <w:t>Idempotency, PostgreSQL transaction boundaries, outbox leasing, cache fallback, restore and reconciliation flows.</w:t>
            </w:r>
          </w:p>
        </w:tc>
        <w:tc>
          <w:tcPr>
            <w:tcW w:type="dxa" w:w="2410"/>
          </w:tcPr>
          <w:p>
            <w:pPr>
              <w:spacing w:after="0" w:line="264" w:lineRule="auto"/>
            </w:pPr>
            <w:r>
              <w:rPr>
                <w:rFonts w:ascii="Times New Roman" w:hAnsi="Times New Roman"/>
                <w:b w:val="0"/>
                <w:color w:val="000000"/>
                <w:sz w:val="16"/>
              </w:rPr>
              <w:t>A lost response must not produce duplicate money movement.</w:t>
            </w:r>
          </w:p>
        </w:tc>
      </w:tr>
      <w:tr>
        <w:tc>
          <w:tcPr>
            <w:tcW w:type="dxa" w:w="1400"/>
          </w:tcPr>
          <w:p>
            <w:pPr>
              <w:spacing w:after="0" w:line="264" w:lineRule="auto"/>
            </w:pPr>
            <w:r>
              <w:rPr>
                <w:rFonts w:ascii="Times New Roman" w:hAnsi="Times New Roman"/>
                <w:b/>
                <w:color w:val="000000"/>
                <w:sz w:val="16"/>
              </w:rPr>
              <w:t>Goal: scalability</w:t>
            </w:r>
          </w:p>
        </w:tc>
        <w:tc>
          <w:tcPr>
            <w:tcW w:type="dxa" w:w="1550"/>
          </w:tcPr>
          <w:p>
            <w:pPr>
              <w:spacing w:after="0" w:line="264" w:lineRule="auto"/>
            </w:pPr>
            <w:r>
              <w:rPr>
                <w:rFonts w:ascii="Times New Roman" w:hAnsi="Times New Roman"/>
                <w:b w:val="0"/>
                <w:color w:val="000000"/>
                <w:sz w:val="16"/>
              </w:rPr>
              <w:t>Work can be separated and increased without changing financial truth.</w:t>
            </w:r>
          </w:p>
        </w:tc>
        <w:tc>
          <w:tcPr>
            <w:tcW w:type="dxa" w:w="620"/>
          </w:tcPr>
          <w:p>
            <w:pPr>
              <w:spacing w:after="0" w:line="264" w:lineRule="auto"/>
            </w:pPr>
            <w:r>
              <w:rPr>
                <w:rFonts w:ascii="Times New Roman" w:hAnsi="Times New Roman"/>
                <w:b w:val="0"/>
                <w:color w:val="000000"/>
                <w:sz w:val="16"/>
              </w:rPr>
              <w:t>Partly</w:t>
            </w:r>
          </w:p>
        </w:tc>
        <w:tc>
          <w:tcPr>
            <w:tcW w:type="dxa" w:w="3380"/>
          </w:tcPr>
          <w:p>
            <w:pPr>
              <w:spacing w:after="0" w:line="264" w:lineRule="auto"/>
            </w:pPr>
            <w:r>
              <w:rPr>
                <w:rFonts w:ascii="Times New Roman" w:hAnsi="Times New Roman"/>
                <w:b w:val="0"/>
                <w:color w:val="000000"/>
                <w:sz w:val="16"/>
              </w:rPr>
              <w:t>API, worker, PostgreSQL, and Redis run as separate runtime services; load evidence exists for the local pilot envelope.</w:t>
            </w:r>
          </w:p>
        </w:tc>
        <w:tc>
          <w:tcPr>
            <w:tcW w:type="dxa" w:w="2410"/>
          </w:tcPr>
          <w:p>
            <w:pPr>
              <w:spacing w:after="0" w:line="264" w:lineRule="auto"/>
            </w:pPr>
            <w:r>
              <w:rPr>
                <w:rFonts w:ascii="Times New Roman" w:hAnsi="Times New Roman"/>
                <w:b w:val="0"/>
                <w:color w:val="000000"/>
                <w:sz w:val="16"/>
              </w:rPr>
              <w:t>Supports independent worker/API scaling while database invariants remain central.</w:t>
            </w:r>
          </w:p>
        </w:tc>
      </w:tr>
      <w:tr>
        <w:tc>
          <w:tcPr>
            <w:tcW w:type="dxa" w:w="1400"/>
          </w:tcPr>
          <w:p>
            <w:pPr>
              <w:spacing w:after="0" w:line="264" w:lineRule="auto"/>
            </w:pPr>
            <w:r>
              <w:rPr>
                <w:rFonts w:ascii="Times New Roman" w:hAnsi="Times New Roman"/>
                <w:b/>
                <w:color w:val="000000"/>
                <w:sz w:val="16"/>
              </w:rPr>
              <w:t>Client-server architecture</w:t>
            </w:r>
          </w:p>
        </w:tc>
        <w:tc>
          <w:tcPr>
            <w:tcW w:type="dxa" w:w="1550"/>
          </w:tcPr>
          <w:p>
            <w:pPr>
              <w:spacing w:after="0" w:line="264" w:lineRule="auto"/>
            </w:pPr>
            <w:r>
              <w:rPr>
                <w:rFonts w:ascii="Times New Roman" w:hAnsi="Times New Roman"/>
                <w:b w:val="0"/>
                <w:color w:val="000000"/>
                <w:sz w:val="16"/>
              </w:rPr>
              <w:t>A client requests services from a server.</w:t>
            </w:r>
          </w:p>
        </w:tc>
        <w:tc>
          <w:tcPr>
            <w:tcW w:type="dxa" w:w="620"/>
          </w:tcPr>
          <w:p>
            <w:pPr>
              <w:spacing w:after="0" w:line="264" w:lineRule="auto"/>
            </w:pPr>
            <w:r>
              <w:rPr>
                <w:rFonts w:ascii="Times New Roman" w:hAnsi="Times New Roman"/>
                <w:b w:val="0"/>
                <w:color w:val="000000"/>
                <w:sz w:val="16"/>
              </w:rPr>
              <w:t>Yes</w:t>
            </w:r>
          </w:p>
        </w:tc>
        <w:tc>
          <w:tcPr>
            <w:tcW w:type="dxa" w:w="3380"/>
          </w:tcPr>
          <w:p>
            <w:pPr>
              <w:spacing w:after="0" w:line="264" w:lineRule="auto"/>
            </w:pPr>
            <w:r>
              <w:rPr>
                <w:rFonts w:ascii="Times New Roman" w:hAnsi="Times New Roman"/>
                <w:b w:val="0"/>
                <w:color w:val="000000"/>
                <w:sz w:val="16"/>
              </w:rPr>
              <w:t>Browser → BFF → private Go API.</w:t>
            </w:r>
          </w:p>
        </w:tc>
        <w:tc>
          <w:tcPr>
            <w:tcW w:type="dxa" w:w="2410"/>
          </w:tcPr>
          <w:p>
            <w:pPr>
              <w:spacing w:after="0" w:line="264" w:lineRule="auto"/>
            </w:pPr>
            <w:r>
              <w:rPr>
                <w:rFonts w:ascii="Times New Roman" w:hAnsi="Times New Roman"/>
                <w:b w:val="0"/>
                <w:color w:val="000000"/>
                <w:sz w:val="16"/>
              </w:rPr>
              <w:t>The browser never connects directly to database, cache, or internal service ports.</w:t>
            </w:r>
          </w:p>
        </w:tc>
      </w:tr>
      <w:tr>
        <w:tc>
          <w:tcPr>
            <w:tcW w:type="dxa" w:w="1400"/>
          </w:tcPr>
          <w:p>
            <w:pPr>
              <w:spacing w:after="0" w:line="264" w:lineRule="auto"/>
            </w:pPr>
            <w:r>
              <w:rPr>
                <w:rFonts w:ascii="Times New Roman" w:hAnsi="Times New Roman"/>
                <w:b/>
                <w:color w:val="000000"/>
                <w:sz w:val="16"/>
              </w:rPr>
              <w:t>Data-centered architecture</w:t>
            </w:r>
          </w:p>
        </w:tc>
        <w:tc>
          <w:tcPr>
            <w:tcW w:type="dxa" w:w="1550"/>
          </w:tcPr>
          <w:p>
            <w:pPr>
              <w:spacing w:after="0" w:line="264" w:lineRule="auto"/>
            </w:pPr>
            <w:r>
              <w:rPr>
                <w:rFonts w:ascii="Times New Roman" w:hAnsi="Times New Roman"/>
                <w:b w:val="0"/>
                <w:color w:val="000000"/>
                <w:sz w:val="16"/>
              </w:rPr>
              <w:t>Multiple components share a safely saved data authority.</w:t>
            </w:r>
          </w:p>
        </w:tc>
        <w:tc>
          <w:tcPr>
            <w:tcW w:type="dxa" w:w="620"/>
          </w:tcPr>
          <w:p>
            <w:pPr>
              <w:spacing w:after="0" w:line="264" w:lineRule="auto"/>
            </w:pPr>
            <w:r>
              <w:rPr>
                <w:rFonts w:ascii="Times New Roman" w:hAnsi="Times New Roman"/>
                <w:b w:val="0"/>
                <w:color w:val="000000"/>
                <w:sz w:val="16"/>
              </w:rPr>
              <w:t>Yes</w:t>
            </w:r>
          </w:p>
        </w:tc>
        <w:tc>
          <w:tcPr>
            <w:tcW w:type="dxa" w:w="3380"/>
          </w:tcPr>
          <w:p>
            <w:pPr>
              <w:spacing w:after="0" w:line="264" w:lineRule="auto"/>
            </w:pPr>
            <w:r>
              <w:rPr>
                <w:rFonts w:ascii="Times New Roman" w:hAnsi="Times New Roman"/>
                <w:b w:val="0"/>
                <w:color w:val="000000"/>
                <w:sz w:val="16"/>
              </w:rPr>
              <w:t>PostgreSQL stores transfers, journals, postings, audit, idempotency, outbox, and calculated current balances.</w:t>
            </w:r>
          </w:p>
        </w:tc>
        <w:tc>
          <w:tcPr>
            <w:tcW w:type="dxa" w:w="2410"/>
          </w:tcPr>
          <w:p>
            <w:pPr>
              <w:spacing w:after="0" w:line="264" w:lineRule="auto"/>
            </w:pPr>
            <w:r>
              <w:rPr>
                <w:rFonts w:ascii="Times New Roman" w:hAnsi="Times New Roman"/>
                <w:b w:val="0"/>
                <w:color w:val="000000"/>
                <w:sz w:val="16"/>
              </w:rPr>
              <w:t>Financial evidence survives cache loss and service restart.</w:t>
            </w:r>
          </w:p>
        </w:tc>
      </w:tr>
      <w:tr>
        <w:tc>
          <w:tcPr>
            <w:tcW w:type="dxa" w:w="1400"/>
          </w:tcPr>
          <w:p>
            <w:pPr>
              <w:spacing w:after="0" w:line="264" w:lineRule="auto"/>
            </w:pPr>
            <w:r>
              <w:rPr>
                <w:rFonts w:ascii="Times New Roman" w:hAnsi="Times New Roman"/>
                <w:b/>
                <w:color w:val="000000"/>
                <w:sz w:val="16"/>
              </w:rPr>
              <w:t>Event-based architecture</w:t>
            </w:r>
          </w:p>
        </w:tc>
        <w:tc>
          <w:tcPr>
            <w:tcW w:type="dxa" w:w="1550"/>
          </w:tcPr>
          <w:p>
            <w:pPr>
              <w:spacing w:after="0" w:line="264" w:lineRule="auto"/>
            </w:pPr>
            <w:r>
              <w:rPr>
                <w:rFonts w:ascii="Times New Roman" w:hAnsi="Times New Roman"/>
                <w:b w:val="0"/>
                <w:color w:val="000000"/>
                <w:sz w:val="16"/>
              </w:rPr>
              <w:t>Committed changes are delivered as events to later consumers.</w:t>
            </w:r>
          </w:p>
        </w:tc>
        <w:tc>
          <w:tcPr>
            <w:tcW w:type="dxa" w:w="620"/>
          </w:tcPr>
          <w:p>
            <w:pPr>
              <w:spacing w:after="0" w:line="264" w:lineRule="auto"/>
            </w:pPr>
            <w:r>
              <w:rPr>
                <w:rFonts w:ascii="Times New Roman" w:hAnsi="Times New Roman"/>
                <w:b w:val="0"/>
                <w:color w:val="000000"/>
                <w:sz w:val="16"/>
              </w:rPr>
              <w:t>Yes</w:t>
            </w:r>
          </w:p>
        </w:tc>
        <w:tc>
          <w:tcPr>
            <w:tcW w:type="dxa" w:w="3380"/>
          </w:tcPr>
          <w:p>
            <w:pPr>
              <w:spacing w:after="0" w:line="264" w:lineRule="auto"/>
            </w:pPr>
            <w:r>
              <w:rPr>
                <w:rFonts w:ascii="Times New Roman" w:hAnsi="Times New Roman"/>
                <w:b w:val="0"/>
                <w:color w:val="000000"/>
                <w:sz w:val="16"/>
              </w:rPr>
              <w:t>Transactional outbox (a saved list of messages to send later), worker delivery, signed webhook jobs, and Redis Streams adapter support transport.</w:t>
            </w:r>
          </w:p>
        </w:tc>
        <w:tc>
          <w:tcPr>
            <w:tcW w:type="dxa" w:w="2410"/>
          </w:tcPr>
          <w:p>
            <w:pPr>
              <w:spacing w:after="0" w:line="264" w:lineRule="auto"/>
            </w:pPr>
            <w:r>
              <w:rPr>
                <w:rFonts w:ascii="Times New Roman" w:hAnsi="Times New Roman"/>
                <w:b w:val="0"/>
                <w:color w:val="000000"/>
                <w:sz w:val="16"/>
              </w:rPr>
              <w:t>Delivery work is separated from the transaction that posts money.</w:t>
            </w:r>
          </w:p>
        </w:tc>
      </w:tr>
      <w:tr>
        <w:tc>
          <w:tcPr>
            <w:tcW w:type="dxa" w:w="1400"/>
          </w:tcPr>
          <w:p>
            <w:pPr>
              <w:spacing w:after="0" w:line="264" w:lineRule="auto"/>
            </w:pPr>
            <w:r>
              <w:rPr>
                <w:rFonts w:ascii="Times New Roman" w:hAnsi="Times New Roman"/>
                <w:b/>
                <w:color w:val="000000"/>
                <w:sz w:val="16"/>
              </w:rPr>
              <w:t>Middleware</w:t>
            </w:r>
          </w:p>
        </w:tc>
        <w:tc>
          <w:tcPr>
            <w:tcW w:type="dxa" w:w="1550"/>
          </w:tcPr>
          <w:p>
            <w:pPr>
              <w:spacing w:after="0" w:line="264" w:lineRule="auto"/>
            </w:pPr>
            <w:r>
              <w:rPr>
                <w:rFonts w:ascii="Times New Roman" w:hAnsi="Times New Roman"/>
                <w:b w:val="0"/>
                <w:color w:val="000000"/>
                <w:sz w:val="16"/>
              </w:rPr>
              <w:t>Software between endpoints that provides common communication/security behavior.</w:t>
            </w:r>
          </w:p>
        </w:tc>
        <w:tc>
          <w:tcPr>
            <w:tcW w:type="dxa" w:w="620"/>
          </w:tcPr>
          <w:p>
            <w:pPr>
              <w:spacing w:after="0" w:line="264" w:lineRule="auto"/>
            </w:pPr>
            <w:r>
              <w:rPr>
                <w:rFonts w:ascii="Times New Roman" w:hAnsi="Times New Roman"/>
                <w:b w:val="0"/>
                <w:color w:val="000000"/>
                <w:sz w:val="16"/>
              </w:rPr>
              <w:t>Yes</w:t>
            </w:r>
          </w:p>
        </w:tc>
        <w:tc>
          <w:tcPr>
            <w:tcW w:type="dxa" w:w="3380"/>
          </w:tcPr>
          <w:p>
            <w:pPr>
              <w:spacing w:after="0" w:line="264" w:lineRule="auto"/>
            </w:pPr>
            <w:r>
              <w:rPr>
                <w:rFonts w:ascii="Times New Roman" w:hAnsi="Times New Roman"/>
                <w:b w:val="0"/>
                <w:color w:val="000000"/>
                <w:sz w:val="16"/>
              </w:rPr>
              <w:t>BFF, OIDC validation, user or service assertions, HTTP middleware, rate limits, correlation, and telemetry.</w:t>
            </w:r>
          </w:p>
        </w:tc>
        <w:tc>
          <w:tcPr>
            <w:tcW w:type="dxa" w:w="2410"/>
          </w:tcPr>
          <w:p>
            <w:pPr>
              <w:spacing w:after="0" w:line="264" w:lineRule="auto"/>
            </w:pPr>
            <w:r>
              <w:rPr>
                <w:rFonts w:ascii="Times New Roman" w:hAnsi="Times New Roman"/>
                <w:b w:val="0"/>
                <w:color w:val="000000"/>
                <w:sz w:val="16"/>
              </w:rPr>
              <w:t>Security and policies are enforced consistently at boundaries.</w:t>
            </w:r>
          </w:p>
        </w:tc>
      </w:tr>
      <w:tr>
        <w:tc>
          <w:tcPr>
            <w:tcW w:type="dxa" w:w="1400"/>
          </w:tcPr>
          <w:p>
            <w:pPr>
              <w:spacing w:after="0" w:line="264" w:lineRule="auto"/>
            </w:pPr>
            <w:r>
              <w:rPr>
                <w:rFonts w:ascii="Times New Roman" w:hAnsi="Times New Roman"/>
                <w:b/>
                <w:color w:val="000000"/>
                <w:sz w:val="16"/>
              </w:rPr>
              <w:t>Virtualization</w:t>
            </w:r>
          </w:p>
        </w:tc>
        <w:tc>
          <w:tcPr>
            <w:tcW w:type="dxa" w:w="1550"/>
          </w:tcPr>
          <w:p>
            <w:pPr>
              <w:spacing w:after="0" w:line="264" w:lineRule="auto"/>
            </w:pPr>
            <w:r>
              <w:rPr>
                <w:rFonts w:ascii="Times New Roman" w:hAnsi="Times New Roman"/>
                <w:b w:val="0"/>
                <w:color w:val="000000"/>
                <w:sz w:val="16"/>
              </w:rPr>
              <w:t>Software isolates runtimes from the host environment.</w:t>
            </w:r>
          </w:p>
        </w:tc>
        <w:tc>
          <w:tcPr>
            <w:tcW w:type="dxa" w:w="620"/>
          </w:tcPr>
          <w:p>
            <w:pPr>
              <w:spacing w:after="0" w:line="264" w:lineRule="auto"/>
            </w:pPr>
            <w:r>
              <w:rPr>
                <w:rFonts w:ascii="Times New Roman" w:hAnsi="Times New Roman"/>
                <w:b w:val="0"/>
                <w:color w:val="000000"/>
                <w:sz w:val="16"/>
              </w:rPr>
              <w:t>Yes</w:t>
            </w:r>
          </w:p>
        </w:tc>
        <w:tc>
          <w:tcPr>
            <w:tcW w:type="dxa" w:w="3380"/>
          </w:tcPr>
          <w:p>
            <w:pPr>
              <w:spacing w:after="0" w:line="264" w:lineRule="auto"/>
            </w:pPr>
            <w:r>
              <w:rPr>
                <w:rFonts w:ascii="Times New Roman" w:hAnsi="Times New Roman"/>
                <w:b w:val="0"/>
                <w:color w:val="000000"/>
                <w:sz w:val="16"/>
              </w:rPr>
              <w:t>Docker Compose runs web, API, worker, PostgreSQL, Redis, migrations, and seed services.</w:t>
            </w:r>
          </w:p>
        </w:tc>
        <w:tc>
          <w:tcPr>
            <w:tcW w:type="dxa" w:w="2410"/>
          </w:tcPr>
          <w:p>
            <w:pPr>
              <w:spacing w:after="0" w:line="264" w:lineRule="auto"/>
            </w:pPr>
            <w:r>
              <w:rPr>
                <w:rFonts w:ascii="Times New Roman" w:hAnsi="Times New Roman"/>
                <w:b w:val="0"/>
                <w:color w:val="000000"/>
                <w:sz w:val="16"/>
              </w:rPr>
              <w:t>The full stack can be reproduced on a developer workstation.</w:t>
            </w:r>
          </w:p>
        </w:tc>
      </w:tr>
      <w:tr>
        <w:tc>
          <w:tcPr>
            <w:tcW w:type="dxa" w:w="1400"/>
          </w:tcPr>
          <w:p>
            <w:pPr>
              <w:spacing w:after="0" w:line="264" w:lineRule="auto"/>
            </w:pPr>
            <w:r>
              <w:rPr>
                <w:rFonts w:ascii="Times New Roman" w:hAnsi="Times New Roman"/>
                <w:b/>
                <w:color w:val="000000"/>
                <w:sz w:val="16"/>
              </w:rPr>
              <w:t>Distributed multimedia</w:t>
            </w:r>
          </w:p>
        </w:tc>
        <w:tc>
          <w:tcPr>
            <w:tcW w:type="dxa" w:w="1550"/>
          </w:tcPr>
          <w:p>
            <w:pPr>
              <w:spacing w:after="0" w:line="264" w:lineRule="auto"/>
            </w:pPr>
            <w:r>
              <w:rPr>
                <w:rFonts w:ascii="Times New Roman" w:hAnsi="Times New Roman"/>
                <w:b w:val="0"/>
                <w:color w:val="000000"/>
                <w:sz w:val="16"/>
              </w:rPr>
              <w:t>Distributed delivery of audio/video/media streams.</w:t>
            </w:r>
          </w:p>
        </w:tc>
        <w:tc>
          <w:tcPr>
            <w:tcW w:type="dxa" w:w="620"/>
          </w:tcPr>
          <w:p>
            <w:pPr>
              <w:spacing w:after="0" w:line="264" w:lineRule="auto"/>
            </w:pPr>
            <w:r>
              <w:rPr>
                <w:rFonts w:ascii="Times New Roman" w:hAnsi="Times New Roman"/>
                <w:b w:val="0"/>
                <w:color w:val="000000"/>
                <w:sz w:val="16"/>
              </w:rPr>
              <w:t>No</w:t>
            </w:r>
          </w:p>
        </w:tc>
        <w:tc>
          <w:tcPr>
            <w:tcW w:type="dxa" w:w="3380"/>
          </w:tcPr>
          <w:p>
            <w:pPr>
              <w:spacing w:after="0" w:line="264" w:lineRule="auto"/>
            </w:pPr>
            <w:r>
              <w:rPr>
                <w:rFonts w:ascii="Times New Roman" w:hAnsi="Times New Roman"/>
                <w:b w:val="0"/>
                <w:color w:val="000000"/>
                <w:sz w:val="16"/>
              </w:rPr>
              <w:t>Out of product scope.</w:t>
            </w:r>
          </w:p>
        </w:tc>
        <w:tc>
          <w:tcPr>
            <w:tcW w:type="dxa" w:w="2410"/>
          </w:tcPr>
          <w:p>
            <w:pPr>
              <w:spacing w:after="0" w:line="264" w:lineRule="auto"/>
            </w:pPr>
            <w:r>
              <w:rPr>
                <w:rFonts w:ascii="Times New Roman" w:hAnsi="Times New Roman"/>
                <w:b w:val="0"/>
                <w:color w:val="000000"/>
                <w:sz w:val="16"/>
              </w:rPr>
              <w:t>LedgerSync processes financial evidence, not multimedia streams.</w:t>
            </w:r>
          </w:p>
        </w:tc>
      </w:tr>
    </w:tbl>
    <w:p>
      <w:pPr>
        <w:spacing w:before="0" w:after="80" w:line="276" w:lineRule="auto"/>
      </w:pPr>
      <w:r>
        <w:rPr>
          <w:rFonts w:ascii="Times New Roman" w:hAnsi="Times New Roman"/>
          <w:b w:val="0"/>
          <w:i w:val="0"/>
          <w:color w:val="000000"/>
          <w:sz w:val="4"/>
        </w:rPr>
      </w:r>
    </w:p>
    <w:p>
      <w:pPr>
        <w:pStyle w:val="Heading2"/>
        <w:keepNext/>
      </w:pPr>
      <w:r>
        <w:rPr>
          <w:rFonts w:ascii="Times New Roman" w:hAnsi="Times New Roman"/>
          <w:b/>
          <w:color w:val="000000"/>
          <w:sz w:val="28"/>
        </w:rPr>
        <w:t>1.3 LedgerSync distributed architecture</w:t>
      </w:r>
    </w:p>
    <w:p>
      <w:pPr>
        <w:spacing w:after="160" w:line="276" w:lineRule="auto"/>
      </w:pPr>
      <w:r>
        <w:rPr>
          <w:rFonts w:ascii="Times New Roman" w:hAnsi="Times New Roman"/>
          <w:b/>
          <w:color w:val="000000"/>
          <w:sz w:val="22"/>
        </w:rPr>
        <w:t>Browser -&gt; Next.js BFF -&gt; Go API -&gt; PostgreSQL -&gt; Outbox -&gt; Worker -&gt; Redis/Delivery</w:t>
      </w:r>
    </w:p>
    <w:p>
      <w:pPr>
        <w:spacing w:before="0" w:after="120" w:line="276" w:lineRule="auto"/>
      </w:pPr>
      <w:r>
        <w:rPr>
          <w:rFonts w:ascii="Times New Roman" w:hAnsi="Times New Roman"/>
          <w:b w:val="0"/>
          <w:i w:val="0"/>
          <w:color w:val="000000"/>
          <w:sz w:val="22"/>
        </w:rPr>
        <w:t>The browser communicates only with the same-origin BFF. The BFF holds the private server-to-server boundary. The Go API validates identity and commits financial state in PostgreSQL. The outbox worker processes committed delivery work later. Redis accelerates reads and transport but does not decide financial state.</w:t>
      </w:r>
    </w:p>
    <w:p>
      <w:pPr>
        <w:pStyle w:val="Heading2"/>
        <w:keepNext/>
      </w:pPr>
      <w:r>
        <w:rPr>
          <w:rFonts w:ascii="Times New Roman" w:hAnsi="Times New Roman"/>
          <w:b/>
          <w:color w:val="000000"/>
          <w:sz w:val="28"/>
        </w:rPr>
        <w:t>1.4 Architectures used</w:t>
      </w:r>
    </w:p>
    <w:p>
      <w:pPr>
        <w:pStyle w:val="Heading3"/>
        <w:keepNext/>
      </w:pPr>
      <w:r>
        <w:rPr>
          <w:rFonts w:ascii="Times New Roman" w:hAnsi="Times New Roman"/>
          <w:b/>
          <w:color w:val="000000"/>
          <w:sz w:val="24"/>
        </w:rPr>
        <w:t>Client-server architecture</w:t>
      </w:r>
    </w:p>
    <w:p>
      <w:pPr>
        <w:spacing w:before="0" w:after="120" w:line="276" w:lineRule="auto"/>
      </w:pPr>
      <w:r>
        <w:rPr>
          <w:rFonts w:ascii="Times New Roman" w:hAnsi="Times New Roman"/>
          <w:b w:val="0"/>
          <w:i w:val="0"/>
          <w:color w:val="000000"/>
          <w:sz w:val="22"/>
        </w:rPr>
        <w:t>The operator's browser is the client. It sends HTTPS requests to the Next.js BFF. The BFF forwards authorized, bounded requests to the private Go API. This prevents browser code from connecting directly to PostgreSQL, Redis, or internal worker ports.</w:t>
      </w:r>
    </w:p>
    <w:p>
      <w:pPr>
        <w:pStyle w:val="Heading3"/>
        <w:keepNext/>
      </w:pPr>
      <w:r>
        <w:rPr>
          <w:rFonts w:ascii="Times New Roman" w:hAnsi="Times New Roman"/>
          <w:b/>
          <w:color w:val="000000"/>
          <w:sz w:val="24"/>
        </w:rPr>
        <w:t>Data-centered architecture</w:t>
      </w:r>
    </w:p>
    <w:p>
      <w:pPr>
        <w:spacing w:before="0" w:after="120" w:line="276" w:lineRule="auto"/>
      </w:pPr>
      <w:r>
        <w:rPr>
          <w:rFonts w:ascii="Times New Roman" w:hAnsi="Times New Roman"/>
          <w:b w:val="0"/>
          <w:i w:val="0"/>
          <w:color w:val="000000"/>
          <w:sz w:val="22"/>
        </w:rPr>
        <w:t>PostgreSQL is the shared safely saved authority. It stores customer workspace, account, transfer, journal, posting, balance, audit, idempotency, outbox, reconciliation, funding, correction, and delivery evidence. This is the core reason a cache loss cannot rewrite money.</w:t>
      </w:r>
    </w:p>
    <w:p>
      <w:pPr>
        <w:pStyle w:val="Heading3"/>
        <w:keepNext/>
      </w:pPr>
      <w:r>
        <w:rPr>
          <w:rFonts w:ascii="Times New Roman" w:hAnsi="Times New Roman"/>
          <w:b/>
          <w:color w:val="000000"/>
          <w:sz w:val="24"/>
        </w:rPr>
        <w:t>Event-based architecture</w:t>
      </w:r>
    </w:p>
    <w:p>
      <w:pPr>
        <w:spacing w:before="0" w:after="120" w:line="276" w:lineRule="auto"/>
      </w:pPr>
      <w:r>
        <w:rPr>
          <w:rFonts w:ascii="Times New Roman" w:hAnsi="Times New Roman"/>
          <w:b w:val="0"/>
          <w:i w:val="0"/>
          <w:color w:val="000000"/>
          <w:sz w:val="22"/>
        </w:rPr>
        <w:t>A completed transaction stores outbox work in PostgreSQL. The worker consumes this safely saved work later in the background for cache publication and downstream delivery. Financial posting is complete before delivery work is attempted.</w:t>
      </w:r>
    </w:p>
    <w:p>
      <w:pPr>
        <w:pStyle w:val="Heading2"/>
        <w:keepNext/>
      </w:pPr>
      <w:r>
        <w:rPr>
          <w:rFonts w:ascii="Times New Roman" w:hAnsi="Times New Roman"/>
          <w:b/>
          <w:color w:val="000000"/>
          <w:sz w:val="28"/>
        </w:rPr>
        <w:t>1.5 Major design issues and LedgerSync solutions</w:t>
      </w:r>
    </w:p>
    <w:tbl>
      <w:tblPr>
        <w:tblStyle w:val="TableGrid"/>
        <w:tblW w:type="dxa" w:w="9360"/>
        <w:jc w:val="left"/>
        <w:tblLayout w:type="fixed"/>
        <w:tblLook w:firstColumn="1" w:firstRow="1" w:lastColumn="0" w:lastRow="0" w:noHBand="0" w:noVBand="1" w:val="04A0"/>
        <w:tblInd w:w="120" w:type="dxa"/>
      </w:tblPr>
      <w:tblGrid>
        <w:gridCol w:w="2100"/>
        <w:gridCol w:w="4500"/>
        <w:gridCol w:w="2760"/>
      </w:tblGrid>
      <w:tr>
        <w:trPr>
          <w:tblHeader w:val="true"/>
        </w:trPr>
        <w:tc>
          <w:tcPr>
            <w:tcW w:type="dxa" w:w="2100"/>
            <w:tcMar>
              <w:top w:w="80" w:type="dxa"/>
              <w:start w:w="120" w:type="dxa"/>
              <w:bottom w:w="80" w:type="dxa"/>
              <w:end w:w="120" w:type="dxa"/>
            </w:tcMar>
            <w:vAlign w:val="center"/>
          </w:tcPr>
          <w:p>
            <w:pPr>
              <w:spacing w:after="0"/>
            </w:pPr>
            <w:r>
              <w:rPr>
                <w:rFonts w:ascii="Times New Roman" w:hAnsi="Times New Roman"/>
                <w:b/>
                <w:color w:val="000000"/>
                <w:sz w:val="17"/>
              </w:rPr>
              <w:t>Design issue</w:t>
            </w:r>
          </w:p>
        </w:tc>
        <w:tc>
          <w:tcPr>
            <w:tcW w:type="dxa" w:w="4500"/>
            <w:tcMar>
              <w:top w:w="80" w:type="dxa"/>
              <w:start w:w="120" w:type="dxa"/>
              <w:bottom w:w="80" w:type="dxa"/>
              <w:end w:w="120" w:type="dxa"/>
            </w:tcMar>
            <w:vAlign w:val="center"/>
          </w:tcPr>
          <w:p>
            <w:pPr>
              <w:spacing w:after="0"/>
            </w:pPr>
            <w:r>
              <w:rPr>
                <w:rFonts w:ascii="Times New Roman" w:hAnsi="Times New Roman"/>
                <w:b/>
                <w:color w:val="000000"/>
                <w:sz w:val="17"/>
              </w:rPr>
              <w:t>LedgerSync solution</w:t>
            </w:r>
          </w:p>
        </w:tc>
        <w:tc>
          <w:tcPr>
            <w:tcW w:type="dxa" w:w="2760"/>
            <w:tcMar>
              <w:top w:w="80" w:type="dxa"/>
              <w:start w:w="120" w:type="dxa"/>
              <w:bottom w:w="80" w:type="dxa"/>
              <w:end w:w="120" w:type="dxa"/>
            </w:tcMar>
            <w:vAlign w:val="center"/>
          </w:tcPr>
          <w:p>
            <w:pPr>
              <w:spacing w:after="0"/>
            </w:pPr>
            <w:r>
              <w:rPr>
                <w:rFonts w:ascii="Times New Roman" w:hAnsi="Times New Roman"/>
                <w:b/>
                <w:color w:val="000000"/>
                <w:sz w:val="17"/>
              </w:rPr>
              <w:t>Reason</w:t>
            </w:r>
          </w:p>
        </w:tc>
      </w:tr>
      <w:tr>
        <w:tc>
          <w:tcPr>
            <w:tcW w:type="dxa" w:w="2100"/>
          </w:tcPr>
          <w:p>
            <w:pPr>
              <w:spacing w:after="0" w:line="264" w:lineRule="auto"/>
            </w:pPr>
            <w:r>
              <w:rPr>
                <w:rFonts w:ascii="Times New Roman" w:hAnsi="Times New Roman"/>
                <w:b/>
                <w:color w:val="000000"/>
                <w:sz w:val="16"/>
              </w:rPr>
              <w:t>Exact money</w:t>
            </w:r>
          </w:p>
        </w:tc>
        <w:tc>
          <w:tcPr>
            <w:tcW w:type="dxa" w:w="4500"/>
          </w:tcPr>
          <w:p>
            <w:pPr>
              <w:spacing w:after="0" w:line="264" w:lineRule="auto"/>
            </w:pPr>
            <w:r>
              <w:rPr>
                <w:rFonts w:ascii="Times New Roman" w:hAnsi="Times New Roman"/>
                <w:b w:val="0"/>
                <w:color w:val="000000"/>
                <w:sz w:val="16"/>
              </w:rPr>
              <w:t>Integer minor units; standard JSON representation; no floating-point financial path.</w:t>
            </w:r>
          </w:p>
        </w:tc>
        <w:tc>
          <w:tcPr>
            <w:tcW w:type="dxa" w:w="2760"/>
          </w:tcPr>
          <w:p>
            <w:pPr>
              <w:spacing w:after="0" w:line="264" w:lineRule="auto"/>
            </w:pPr>
            <w:r>
              <w:rPr>
                <w:rFonts w:ascii="Times New Roman" w:hAnsi="Times New Roman"/>
                <w:b w:val="0"/>
                <w:color w:val="000000"/>
                <w:sz w:val="16"/>
              </w:rPr>
              <w:t>Prevents decimal rounding drift.</w:t>
            </w:r>
          </w:p>
        </w:tc>
      </w:tr>
      <w:tr>
        <w:tc>
          <w:tcPr>
            <w:tcW w:type="dxa" w:w="2100"/>
          </w:tcPr>
          <w:p>
            <w:pPr>
              <w:spacing w:after="0" w:line="264" w:lineRule="auto"/>
            </w:pPr>
            <w:r>
              <w:rPr>
                <w:rFonts w:ascii="Times New Roman" w:hAnsi="Times New Roman"/>
                <w:b/>
                <w:color w:val="000000"/>
                <w:sz w:val="16"/>
              </w:rPr>
              <w:t>Partial failure</w:t>
            </w:r>
          </w:p>
        </w:tc>
        <w:tc>
          <w:tcPr>
            <w:tcW w:type="dxa" w:w="4500"/>
          </w:tcPr>
          <w:p>
            <w:pPr>
              <w:spacing w:after="0" w:line="264" w:lineRule="auto"/>
            </w:pPr>
            <w:r>
              <w:rPr>
                <w:rFonts w:ascii="Times New Roman" w:hAnsi="Times New Roman"/>
                <w:b w:val="0"/>
                <w:color w:val="000000"/>
                <w:sz w:val="16"/>
              </w:rPr>
              <w:t>One PostgreSQL transaction for transfer, postings, audit, idempotency, balance version, and outbox.</w:t>
            </w:r>
          </w:p>
        </w:tc>
        <w:tc>
          <w:tcPr>
            <w:tcW w:type="dxa" w:w="2760"/>
          </w:tcPr>
          <w:p>
            <w:pPr>
              <w:spacing w:after="0" w:line="264" w:lineRule="auto"/>
            </w:pPr>
            <w:r>
              <w:rPr>
                <w:rFonts w:ascii="Times New Roman" w:hAnsi="Times New Roman"/>
                <w:b w:val="0"/>
                <w:color w:val="000000"/>
                <w:sz w:val="16"/>
              </w:rPr>
              <w:t>Prevents half-completed financial state.</w:t>
            </w:r>
          </w:p>
        </w:tc>
      </w:tr>
      <w:tr>
        <w:tc>
          <w:tcPr>
            <w:tcW w:type="dxa" w:w="2100"/>
          </w:tcPr>
          <w:p>
            <w:pPr>
              <w:spacing w:after="0" w:line="264" w:lineRule="auto"/>
            </w:pPr>
            <w:r>
              <w:rPr>
                <w:rFonts w:ascii="Times New Roman" w:hAnsi="Times New Roman"/>
                <w:b/>
                <w:color w:val="000000"/>
                <w:sz w:val="16"/>
              </w:rPr>
              <w:t>Duplicate retry</w:t>
            </w:r>
          </w:p>
        </w:tc>
        <w:tc>
          <w:tcPr>
            <w:tcW w:type="dxa" w:w="4500"/>
          </w:tcPr>
          <w:p>
            <w:pPr>
              <w:spacing w:after="0" w:line="264" w:lineRule="auto"/>
            </w:pPr>
            <w:r>
              <w:rPr>
                <w:rFonts w:ascii="Times New Roman" w:hAnsi="Times New Roman"/>
                <w:b w:val="0"/>
                <w:color w:val="000000"/>
                <w:sz w:val="16"/>
              </w:rPr>
              <w:t>Tenant/user or service/operation-limited to idempotency key plus fingerprint and stored outcome.</w:t>
            </w:r>
          </w:p>
        </w:tc>
        <w:tc>
          <w:tcPr>
            <w:tcW w:type="dxa" w:w="2760"/>
          </w:tcPr>
          <w:p>
            <w:pPr>
              <w:spacing w:after="0" w:line="264" w:lineRule="auto"/>
            </w:pPr>
            <w:r>
              <w:rPr>
                <w:rFonts w:ascii="Times New Roman" w:hAnsi="Times New Roman"/>
                <w:b w:val="0"/>
                <w:color w:val="000000"/>
                <w:sz w:val="16"/>
              </w:rPr>
              <w:t>A lost response cannot create a second transfer.</w:t>
            </w:r>
          </w:p>
        </w:tc>
      </w:tr>
      <w:tr>
        <w:tc>
          <w:tcPr>
            <w:tcW w:type="dxa" w:w="2100"/>
          </w:tcPr>
          <w:p>
            <w:pPr>
              <w:spacing w:after="0" w:line="264" w:lineRule="auto"/>
            </w:pPr>
            <w:r>
              <w:rPr>
                <w:rFonts w:ascii="Times New Roman" w:hAnsi="Times New Roman"/>
                <w:b/>
                <w:color w:val="000000"/>
                <w:sz w:val="16"/>
              </w:rPr>
              <w:t>Stale reads</w:t>
            </w:r>
          </w:p>
        </w:tc>
        <w:tc>
          <w:tcPr>
            <w:tcW w:type="dxa" w:w="4500"/>
          </w:tcPr>
          <w:p>
            <w:pPr>
              <w:spacing w:after="0" w:line="264" w:lineRule="auto"/>
            </w:pPr>
            <w:r>
              <w:rPr>
                <w:rFonts w:ascii="Times New Roman" w:hAnsi="Times New Roman"/>
                <w:b w:val="0"/>
                <w:color w:val="000000"/>
                <w:sz w:val="16"/>
              </w:rPr>
              <w:t>Version-aware cache reads, PostgreSQL fallback, and truthful unavailable states.</w:t>
            </w:r>
          </w:p>
        </w:tc>
        <w:tc>
          <w:tcPr>
            <w:tcW w:type="dxa" w:w="2760"/>
          </w:tcPr>
          <w:p>
            <w:pPr>
              <w:spacing w:after="0" w:line="264" w:lineRule="auto"/>
            </w:pPr>
            <w:r>
              <w:rPr>
                <w:rFonts w:ascii="Times New Roman" w:hAnsi="Times New Roman"/>
                <w:b w:val="0"/>
                <w:color w:val="000000"/>
                <w:sz w:val="16"/>
              </w:rPr>
              <w:t>Avoids presenting stale data as current after a transfer.</w:t>
            </w:r>
          </w:p>
        </w:tc>
      </w:tr>
      <w:tr>
        <w:tc>
          <w:tcPr>
            <w:tcW w:type="dxa" w:w="2100"/>
          </w:tcPr>
          <w:p>
            <w:pPr>
              <w:spacing w:after="0" w:line="264" w:lineRule="auto"/>
            </w:pPr>
            <w:r>
              <w:rPr>
                <w:rFonts w:ascii="Times New Roman" w:hAnsi="Times New Roman"/>
                <w:b/>
                <w:color w:val="000000"/>
                <w:sz w:val="16"/>
              </w:rPr>
              <w:t>Concurrency</w:t>
            </w:r>
          </w:p>
        </w:tc>
        <w:tc>
          <w:tcPr>
            <w:tcW w:type="dxa" w:w="4500"/>
          </w:tcPr>
          <w:p>
            <w:pPr>
              <w:spacing w:after="0" w:line="264" w:lineRule="auto"/>
            </w:pPr>
            <w:r>
              <w:rPr>
                <w:rFonts w:ascii="Times New Roman" w:hAnsi="Times New Roman"/>
                <w:b w:val="0"/>
                <w:color w:val="000000"/>
                <w:sz w:val="16"/>
              </w:rPr>
              <w:t>Safe database commit window, policy checks, safely saved constraints, and transaction boundaries.</w:t>
            </w:r>
          </w:p>
        </w:tc>
        <w:tc>
          <w:tcPr>
            <w:tcW w:type="dxa" w:w="2760"/>
          </w:tcPr>
          <w:p>
            <w:pPr>
              <w:spacing w:after="0" w:line="264" w:lineRule="auto"/>
            </w:pPr>
            <w:r>
              <w:rPr>
                <w:rFonts w:ascii="Times New Roman" w:hAnsi="Times New Roman"/>
                <w:b w:val="0"/>
                <w:color w:val="000000"/>
                <w:sz w:val="16"/>
              </w:rPr>
              <w:t>Protects balances when users act simultaneously.</w:t>
            </w:r>
          </w:p>
        </w:tc>
      </w:tr>
      <w:tr>
        <w:tc>
          <w:tcPr>
            <w:tcW w:type="dxa" w:w="2100"/>
          </w:tcPr>
          <w:p>
            <w:pPr>
              <w:spacing w:after="0" w:line="264" w:lineRule="auto"/>
            </w:pPr>
            <w:r>
              <w:rPr>
                <w:rFonts w:ascii="Times New Roman" w:hAnsi="Times New Roman"/>
                <w:b/>
                <w:color w:val="000000"/>
                <w:sz w:val="16"/>
              </w:rPr>
              <w:t>Authorization</w:t>
            </w:r>
          </w:p>
        </w:tc>
        <w:tc>
          <w:tcPr>
            <w:tcW w:type="dxa" w:w="4500"/>
          </w:tcPr>
          <w:p>
            <w:pPr>
              <w:spacing w:after="0" w:line="264" w:lineRule="auto"/>
            </w:pPr>
            <w:r>
              <w:rPr>
                <w:rFonts w:ascii="Times New Roman" w:hAnsi="Times New Roman"/>
                <w:b w:val="0"/>
                <w:color w:val="000000"/>
                <w:sz w:val="16"/>
              </w:rPr>
              <w:t>OIDC validation, server-owned customer workspace mapping, scopes, account predicates, BFF user or service assertions.</w:t>
            </w:r>
          </w:p>
        </w:tc>
        <w:tc>
          <w:tcPr>
            <w:tcW w:type="dxa" w:w="2760"/>
          </w:tcPr>
          <w:p>
            <w:pPr>
              <w:spacing w:after="0" w:line="264" w:lineRule="auto"/>
            </w:pPr>
            <w:r>
              <w:rPr>
                <w:rFonts w:ascii="Times New Roman" w:hAnsi="Times New Roman"/>
                <w:b w:val="0"/>
                <w:color w:val="000000"/>
                <w:sz w:val="16"/>
              </w:rPr>
              <w:t>Prevents cross-customer workspace disclosure and movement.</w:t>
            </w:r>
          </w:p>
        </w:tc>
      </w:tr>
      <w:tr>
        <w:tc>
          <w:tcPr>
            <w:tcW w:type="dxa" w:w="2100"/>
          </w:tcPr>
          <w:p>
            <w:pPr>
              <w:spacing w:after="0" w:line="264" w:lineRule="auto"/>
            </w:pPr>
            <w:r>
              <w:rPr>
                <w:rFonts w:ascii="Times New Roman" w:hAnsi="Times New Roman"/>
                <w:b/>
                <w:color w:val="000000"/>
                <w:sz w:val="16"/>
              </w:rPr>
              <w:t>Recovery</w:t>
            </w:r>
          </w:p>
        </w:tc>
        <w:tc>
          <w:tcPr>
            <w:tcW w:type="dxa" w:w="4500"/>
          </w:tcPr>
          <w:p>
            <w:pPr>
              <w:spacing w:after="0" w:line="264" w:lineRule="auto"/>
            </w:pPr>
            <w:r>
              <w:rPr>
                <w:rFonts w:ascii="Times New Roman" w:hAnsi="Times New Roman"/>
                <w:b w:val="0"/>
                <w:color w:val="000000"/>
                <w:sz w:val="16"/>
              </w:rPr>
              <w:t>Backup/restore procedures, cache rebuild, outbox replay, and customer workspace-limited to reconciliation.</w:t>
            </w:r>
          </w:p>
        </w:tc>
        <w:tc>
          <w:tcPr>
            <w:tcW w:type="dxa" w:w="2760"/>
          </w:tcPr>
          <w:p>
            <w:pPr>
              <w:spacing w:after="0" w:line="264" w:lineRule="auto"/>
            </w:pPr>
            <w:r>
              <w:rPr>
                <w:rFonts w:ascii="Times New Roman" w:hAnsi="Times New Roman"/>
                <w:b w:val="0"/>
                <w:color w:val="000000"/>
                <w:sz w:val="16"/>
              </w:rPr>
              <w:t>Recovery is proven by financial evidence, not only by process restart.</w:t>
            </w:r>
          </w:p>
        </w:tc>
      </w:tr>
    </w:tbl>
    <w:p>
      <w:pPr>
        <w:spacing w:before="0" w:after="80" w:line="276" w:lineRule="auto"/>
      </w:pPr>
      <w:r>
        <w:rPr>
          <w:rFonts w:ascii="Times New Roman" w:hAnsi="Times New Roman"/>
          <w:b w:val="0"/>
          <w:i w:val="0"/>
          <w:color w:val="000000"/>
          <w:sz w:val="4"/>
        </w:rPr>
      </w:r>
    </w:p>
    <w:p>
      <w:pPr>
        <w:pStyle w:val="Heading2"/>
        <w:keepNext/>
      </w:pPr>
      <w:r>
        <w:rPr>
          <w:rFonts w:ascii="Times New Roman" w:hAnsi="Times New Roman"/>
          <w:b/>
          <w:color w:val="000000"/>
          <w:sz w:val="28"/>
        </w:rPr>
        <w:t>1.6 Middleware</w:t>
      </w:r>
    </w:p>
    <w:p>
      <w:pPr>
        <w:pStyle w:val="ListBullet"/>
        <w:spacing w:after="80" w:line="300" w:lineRule="auto"/>
      </w:pPr>
      <w:r>
        <w:rPr>
          <w:rFonts w:ascii="Times New Roman" w:hAnsi="Times New Roman"/>
          <w:color w:val="000000"/>
          <w:sz w:val="21"/>
        </w:rPr>
        <w:t>The BFF is middleware between browser and private API; it owns session, CSRF, origin, and safe proxy behavior.</w:t>
      </w:r>
    </w:p>
    <w:p>
      <w:pPr>
        <w:pStyle w:val="ListBullet"/>
        <w:spacing w:after="80" w:line="300" w:lineRule="auto"/>
      </w:pPr>
      <w:r>
        <w:rPr>
          <w:rFonts w:ascii="Times New Roman" w:hAnsi="Times New Roman"/>
          <w:color w:val="000000"/>
          <w:sz w:val="21"/>
        </w:rPr>
        <w:t>OIDC middleware validates issuer, signature, expiry, resource audience, token use, scopes, and server-owned customer workspace mapping.</w:t>
      </w:r>
    </w:p>
    <w:p>
      <w:pPr>
        <w:pStyle w:val="ListBullet"/>
        <w:spacing w:after="80" w:line="300" w:lineRule="auto"/>
      </w:pPr>
      <w:r>
        <w:rPr>
          <w:rFonts w:ascii="Times New Roman" w:hAnsi="Times New Roman"/>
          <w:color w:val="000000"/>
          <w:sz w:val="21"/>
        </w:rPr>
        <w:t>Actor assertions let the BFF prove the currently authorized operator to the API without exposing a private workload credential to the browser.</w:t>
      </w:r>
    </w:p>
    <w:p>
      <w:pPr>
        <w:pStyle w:val="ListBullet"/>
        <w:spacing w:after="80" w:line="300" w:lineRule="auto"/>
      </w:pPr>
      <w:r>
        <w:rPr>
          <w:rFonts w:ascii="Times New Roman" w:hAnsi="Times New Roman"/>
          <w:color w:val="000000"/>
          <w:sz w:val="21"/>
        </w:rPr>
        <w:t>HTTP middleware provides request validation, rate limiting, security headers, correlation, and safe error mapping.</w:t>
      </w:r>
    </w:p>
    <w:p>
      <w:pPr>
        <w:pStyle w:val="ListBullet"/>
        <w:spacing w:after="80" w:line="300" w:lineRule="auto"/>
      </w:pPr>
      <w:r>
        <w:rPr>
          <w:rFonts w:ascii="Times New Roman" w:hAnsi="Times New Roman"/>
          <w:color w:val="000000"/>
          <w:sz w:val="21"/>
        </w:rPr>
        <w:t>Observability middleware creates structured, redacted logs, metrics, and traces for support and incident response.</w:t>
      </w:r>
    </w:p>
    <w:p>
      <w:pPr>
        <w:pStyle w:val="Heading2"/>
        <w:keepNext/>
      </w:pPr>
      <w:r>
        <w:rPr>
          <w:rFonts w:ascii="Times New Roman" w:hAnsi="Times New Roman"/>
          <w:b/>
          <w:color w:val="000000"/>
          <w:sz w:val="28"/>
        </w:rPr>
        <w:t>1.7 Self-study topics</w:t>
      </w:r>
    </w:p>
    <w:p>
      <w:pPr>
        <w:pStyle w:val="Heading3"/>
        <w:keepNext/>
      </w:pPr>
      <w:r>
        <w:rPr>
          <w:rFonts w:ascii="Times New Roman" w:hAnsi="Times New Roman"/>
          <w:b/>
          <w:color w:val="000000"/>
          <w:sz w:val="24"/>
        </w:rPr>
        <w:t>Model of distributed computations</w:t>
      </w:r>
    </w:p>
    <w:p>
      <w:pPr>
        <w:spacing w:before="0" w:after="120" w:line="276" w:lineRule="auto"/>
      </w:pPr>
      <w:r>
        <w:rPr>
          <w:rFonts w:ascii="Times New Roman" w:hAnsi="Times New Roman"/>
          <w:b w:val="0"/>
          <w:i w:val="0"/>
          <w:color w:val="000000"/>
          <w:sz w:val="22"/>
        </w:rPr>
        <w:t>A transfer is a distributed computation because the request crosses browser, BFF, API, database, worker, and cache boundaries. LedgerSync deliberately chooses a safely saved database transaction as the financial commit point. The client may not know the result after a timeout, but the stored idempotency outcome makes the computation safely discoverable.</w:t>
      </w:r>
    </w:p>
    <w:p>
      <w:pPr>
        <w:pStyle w:val="Heading3"/>
        <w:keepNext/>
      </w:pPr>
      <w:r>
        <w:rPr>
          <w:rFonts w:ascii="Times New Roman" w:hAnsi="Times New Roman"/>
          <w:b/>
          <w:color w:val="000000"/>
          <w:sz w:val="24"/>
        </w:rPr>
        <w:t>Role of virtualization</w:t>
      </w:r>
    </w:p>
    <w:p>
      <w:pPr>
        <w:spacing w:before="0" w:after="120" w:line="276" w:lineRule="auto"/>
      </w:pPr>
      <w:r>
        <w:rPr>
          <w:rFonts w:ascii="Times New Roman" w:hAnsi="Times New Roman"/>
          <w:b w:val="0"/>
          <w:i w:val="0"/>
          <w:color w:val="000000"/>
          <w:sz w:val="22"/>
        </w:rPr>
        <w:t>Docker containers package each runtime with its dependencies. Docker Compose declares networks, health checks, environment variables, migration order, and volumes. This reduces machine-specific setup differences and enables repeatable local acceptance tests.</w:t>
      </w:r>
    </w:p>
    <w:p>
      <w:pPr>
        <w:pStyle w:val="Heading2"/>
        <w:keepNext/>
      </w:pPr>
      <w:r>
        <w:rPr>
          <w:rFonts w:ascii="Times New Roman" w:hAnsi="Times New Roman"/>
          <w:b/>
          <w:color w:val="000000"/>
          <w:sz w:val="28"/>
        </w:rPr>
        <w:t>1.8 Distributed multimedia systems</w:t>
      </w:r>
    </w:p>
    <w:p>
      <w:pPr>
        <w:spacing w:before="0" w:after="120" w:line="276" w:lineRule="auto"/>
      </w:pPr>
      <w:r>
        <w:rPr>
          <w:rFonts w:ascii="Times New Roman" w:hAnsi="Times New Roman"/>
          <w:b w:val="0"/>
          <w:i w:val="0"/>
          <w:color w:val="000000"/>
          <w:sz w:val="22"/>
        </w:rPr>
        <w:t>Distributed multimedia systems are not part of LedgerSync's scope. LedgerSync deliberately avoids audio/video streaming and focuses on bounded financial commands, safely saved events, and explainable evidence. This is a correct design choice: multimedia latency goals differ from financial correctness and auditability goals.</w:t>
      </w:r>
    </w:p>
    <w:p>
      <w:pPr>
        <w:pStyle w:val="Heading2"/>
        <w:keepNext/>
      </w:pPr>
      <w:r>
        <w:rPr>
          <w:rFonts w:ascii="Times New Roman" w:hAnsi="Times New Roman"/>
          <w:b/>
          <w:color w:val="000000"/>
          <w:sz w:val="28"/>
        </w:rPr>
        <w:t>1.9 End-to-end transfer flow</w:t>
      </w:r>
    </w:p>
    <w:p>
      <w:pPr>
        <w:pStyle w:val="Heading2"/>
        <w:keepNext/>
      </w:pPr>
      <w:r>
        <w:rPr>
          <w:rFonts w:ascii="Times New Roman" w:hAnsi="Times New Roman"/>
          <w:b/>
          <w:color w:val="000000"/>
          <w:sz w:val="28"/>
        </w:rPr>
        <w:t>Exact internal transfer</w:t>
      </w:r>
    </w:p>
    <w:p>
      <w:pPr>
        <w:spacing w:after="160" w:line="276" w:lineRule="auto"/>
      </w:pPr>
      <w:r>
        <w:rPr>
          <w:rFonts w:ascii="Times New Roman" w:hAnsi="Times New Roman"/>
          <w:b/>
          <w:color w:val="000000"/>
          <w:sz w:val="22"/>
        </w:rPr>
        <w:t>Intent -&gt; BFF checks -&gt; API auth -&gt; PG transaction -&gt; Journal -&gt; Outbox -&gt; Balance evidence</w:t>
      </w:r>
    </w:p>
    <w:p>
      <w:pPr>
        <w:pStyle w:val="ListBullet"/>
        <w:spacing w:after="80" w:line="300" w:lineRule="auto"/>
      </w:pPr>
      <w:r>
        <w:rPr>
          <w:rFonts w:ascii="Times New Roman" w:hAnsi="Times New Roman"/>
          <w:color w:val="000000"/>
          <w:sz w:val="21"/>
        </w:rPr>
        <w:t>The operator chooses authorized debit and credit accounts and enters an exact INR amount.</w:t>
      </w:r>
    </w:p>
    <w:p>
      <w:pPr>
        <w:pStyle w:val="ListBullet"/>
        <w:spacing w:after="80" w:line="300" w:lineRule="auto"/>
      </w:pPr>
      <w:r>
        <w:rPr>
          <w:rFonts w:ascii="Times New Roman" w:hAnsi="Times New Roman"/>
          <w:color w:val="000000"/>
          <w:sz w:val="21"/>
        </w:rPr>
        <w:t>The browser retains the command intent and idempotency key before network submission.</w:t>
      </w:r>
    </w:p>
    <w:p>
      <w:pPr>
        <w:pStyle w:val="ListBullet"/>
        <w:spacing w:after="80" w:line="300" w:lineRule="auto"/>
      </w:pPr>
      <w:r>
        <w:rPr>
          <w:rFonts w:ascii="Times New Roman" w:hAnsi="Times New Roman"/>
          <w:color w:val="000000"/>
          <w:sz w:val="21"/>
        </w:rPr>
        <w:t>The BFF checks the session and CSRF/origin rules and forwards a server-side authenticated request.</w:t>
      </w:r>
    </w:p>
    <w:p>
      <w:pPr>
        <w:pStyle w:val="ListBullet"/>
        <w:spacing w:after="80" w:line="300" w:lineRule="auto"/>
      </w:pPr>
      <w:r>
        <w:rPr>
          <w:rFonts w:ascii="Times New Roman" w:hAnsi="Times New Roman"/>
          <w:color w:val="000000"/>
          <w:sz w:val="21"/>
        </w:rPr>
        <w:t>The API authorizes customer workspace, user or service, account, currency, policy, and rate limits.</w:t>
      </w:r>
    </w:p>
    <w:p>
      <w:pPr>
        <w:pStyle w:val="ListBullet"/>
        <w:spacing w:after="80" w:line="300" w:lineRule="auto"/>
      </w:pPr>
      <w:r>
        <w:rPr>
          <w:rFonts w:ascii="Times New Roman" w:hAnsi="Times New Roman"/>
          <w:color w:val="000000"/>
          <w:sz w:val="21"/>
        </w:rPr>
        <w:t>PostgreSQL atomically stores the transfer, journal transaction, debit/credit postings, balance versions, audit record, idempotency outcome, and outbox event.</w:t>
      </w:r>
    </w:p>
    <w:p>
      <w:pPr>
        <w:pStyle w:val="ListBullet"/>
        <w:spacing w:after="80" w:line="300" w:lineRule="auto"/>
      </w:pPr>
      <w:r>
        <w:rPr>
          <w:rFonts w:ascii="Times New Roman" w:hAnsi="Times New Roman"/>
          <w:color w:val="000000"/>
          <w:sz w:val="21"/>
        </w:rPr>
        <w:t>The response returns committed evidence or a truthful unknown outcome. Unknown outcomes are retried using the same key.</w:t>
      </w:r>
    </w:p>
    <w:p>
      <w:pPr>
        <w:pStyle w:val="ListBullet"/>
        <w:spacing w:after="80" w:line="300" w:lineRule="auto"/>
      </w:pPr>
      <w:r>
        <w:rPr>
          <w:rFonts w:ascii="Times New Roman" w:hAnsi="Times New Roman"/>
          <w:color w:val="000000"/>
          <w:sz w:val="21"/>
        </w:rPr>
        <w:t>The worker processes outbox delivery independently; failure to publish cannot undo a completed journal.</w:t>
      </w:r>
    </w:p>
    <w:p>
      <w:pPr>
        <w:pStyle w:val="Heading1"/>
        <w:keepNext/>
      </w:pPr>
      <w:r>
        <w:rPr>
          <w:rFonts w:ascii="Times New Roman" w:hAnsi="Times New Roman"/>
          <w:b/>
          <w:color w:val="000000"/>
          <w:sz w:val="32"/>
        </w:rPr>
        <w:t>1.10 Top 30 Unit I viva questions</w:t>
      </w:r>
    </w:p>
    <w:p>
      <w:pPr>
        <w:spacing w:before="140" w:after="40" w:line="278" w:lineRule="auto"/>
      </w:pPr>
      <w:r>
        <w:rPr>
          <w:rFonts w:ascii="Times New Roman" w:hAnsi="Times New Roman"/>
          <w:b/>
          <w:color w:val="000000"/>
          <w:sz w:val="21"/>
        </w:rPr>
        <w:t>1. What is a distributed system?</w:t>
      </w:r>
    </w:p>
    <w:p>
      <w:pPr>
        <w:spacing w:after="80" w:line="288" w:lineRule="auto"/>
      </w:pPr>
      <w:r>
        <w:rPr>
          <w:rFonts w:ascii="Times New Roman" w:hAnsi="Times New Roman"/>
          <w:color w:val="000000"/>
          <w:sz w:val="20"/>
        </w:rPr>
        <w:t>A distributed system is a collection of independent computers or services that communicate over a network and appear to users as one coherent system. LedgerSync uses separate web, API, worker, database, and cache components.</w:t>
      </w:r>
    </w:p>
    <w:p>
      <w:pPr>
        <w:spacing w:before="140" w:after="40" w:line="278" w:lineRule="auto"/>
      </w:pPr>
      <w:r>
        <w:rPr>
          <w:rFonts w:ascii="Times New Roman" w:hAnsi="Times New Roman"/>
          <w:b/>
          <w:color w:val="000000"/>
          <w:sz w:val="21"/>
        </w:rPr>
        <w:t>2. Why is LedgerSync a distributed system?</w:t>
      </w:r>
    </w:p>
    <w:p>
      <w:pPr>
        <w:spacing w:after="80" w:line="288" w:lineRule="auto"/>
      </w:pPr>
      <w:r>
        <w:rPr>
          <w:rFonts w:ascii="Times New Roman" w:hAnsi="Times New Roman"/>
          <w:color w:val="000000"/>
          <w:sz w:val="20"/>
        </w:rPr>
        <w:t>Its browser console, BFF, Go API, outbox worker, PostgreSQL database, and Redis cache are separate components that coordinate over network boundaries to provide one ledger service.</w:t>
      </w:r>
    </w:p>
    <w:p>
      <w:pPr>
        <w:spacing w:before="140" w:after="40" w:line="278" w:lineRule="auto"/>
      </w:pPr>
      <w:r>
        <w:rPr>
          <w:rFonts w:ascii="Times New Roman" w:hAnsi="Times New Roman"/>
          <w:b/>
          <w:color w:val="000000"/>
          <w:sz w:val="21"/>
        </w:rPr>
        <w:t>3. What is the main goal of LedgerSync?</w:t>
      </w:r>
    </w:p>
    <w:p>
      <w:pPr>
        <w:spacing w:after="80" w:line="288" w:lineRule="auto"/>
      </w:pPr>
      <w:r>
        <w:rPr>
          <w:rFonts w:ascii="Times New Roman" w:hAnsi="Times New Roman"/>
          <w:color w:val="000000"/>
          <w:sz w:val="20"/>
        </w:rPr>
        <w:t>Its main goal is dependable internal money movement: every completed transfer is exact, balanced, explainable, visible, and safe to retry.</w:t>
      </w:r>
    </w:p>
    <w:p>
      <w:pPr>
        <w:spacing w:before="140" w:after="40" w:line="278" w:lineRule="auto"/>
      </w:pPr>
      <w:r>
        <w:rPr>
          <w:rFonts w:ascii="Times New Roman" w:hAnsi="Times New Roman"/>
          <w:b/>
          <w:color w:val="000000"/>
          <w:sz w:val="21"/>
        </w:rPr>
        <w:t>4. Which architecture does LedgerSync use?</w:t>
      </w:r>
    </w:p>
    <w:p>
      <w:pPr>
        <w:spacing w:after="80" w:line="288" w:lineRule="auto"/>
      </w:pPr>
      <w:r>
        <w:rPr>
          <w:rFonts w:ascii="Times New Roman" w:hAnsi="Times New Roman"/>
          <w:color w:val="000000"/>
          <w:sz w:val="20"/>
        </w:rPr>
        <w:t>LedgerSync combines client-server architecture for browser requests, data-centered architecture around PostgreSQL, and event-based architecture through a transactional outbox (a saved list of messages to send later) and worker.</w:t>
      </w:r>
    </w:p>
    <w:p>
      <w:pPr>
        <w:spacing w:before="140" w:after="40" w:line="278" w:lineRule="auto"/>
      </w:pPr>
      <w:r>
        <w:rPr>
          <w:rFonts w:ascii="Times New Roman" w:hAnsi="Times New Roman"/>
          <w:b/>
          <w:color w:val="000000"/>
          <w:sz w:val="21"/>
        </w:rPr>
        <w:t>5. What is the role of the BFF?</w:t>
      </w:r>
    </w:p>
    <w:p>
      <w:pPr>
        <w:spacing w:after="80" w:line="288" w:lineRule="auto"/>
      </w:pPr>
      <w:r>
        <w:rPr>
          <w:rFonts w:ascii="Times New Roman" w:hAnsi="Times New Roman"/>
          <w:color w:val="000000"/>
          <w:sz w:val="20"/>
        </w:rPr>
        <w:t>The Next.js BFF is a server-side boundary between the browser and private API. It keeps private credentials away from the browser and applies session, CSRF, and request controls.</w:t>
      </w:r>
    </w:p>
    <w:p>
      <w:pPr>
        <w:spacing w:before="140" w:after="40" w:line="278" w:lineRule="auto"/>
      </w:pPr>
      <w:r>
        <w:rPr>
          <w:rFonts w:ascii="Times New Roman" w:hAnsi="Times New Roman"/>
          <w:b/>
          <w:color w:val="000000"/>
          <w:sz w:val="21"/>
        </w:rPr>
        <w:t>6. Why is PostgreSQL called the source of truth?</w:t>
      </w:r>
    </w:p>
    <w:p>
      <w:pPr>
        <w:spacing w:after="80" w:line="288" w:lineRule="auto"/>
      </w:pPr>
      <w:r>
        <w:rPr>
          <w:rFonts w:ascii="Times New Roman" w:hAnsi="Times New Roman"/>
          <w:color w:val="000000"/>
          <w:sz w:val="20"/>
        </w:rPr>
        <w:t>It safely stores financial records, postings, idempotency outcomes, audits, and outbox work in one transaction. Redis loss cannot change PostgreSQL money.</w:t>
      </w:r>
    </w:p>
    <w:p>
      <w:pPr>
        <w:spacing w:before="140" w:after="40" w:line="278" w:lineRule="auto"/>
      </w:pPr>
      <w:r>
        <w:rPr>
          <w:rFonts w:ascii="Times New Roman" w:hAnsi="Times New Roman"/>
          <w:b/>
          <w:color w:val="000000"/>
          <w:sz w:val="21"/>
        </w:rPr>
        <w:t>7. Why is Redis not the source of truth?</w:t>
      </w:r>
    </w:p>
    <w:p>
      <w:pPr>
        <w:spacing w:after="80" w:line="288" w:lineRule="auto"/>
      </w:pPr>
      <w:r>
        <w:rPr>
          <w:rFonts w:ascii="Times New Roman" w:hAnsi="Times New Roman"/>
          <w:color w:val="000000"/>
          <w:sz w:val="20"/>
        </w:rPr>
        <w:t>Redis is used for fast reads and delivery support. It can be deleted and rebuilt from PostgreSQL, so it must never decide whether money moved.</w:t>
      </w:r>
    </w:p>
    <w:p>
      <w:pPr>
        <w:spacing w:before="140" w:after="40" w:line="278" w:lineRule="auto"/>
      </w:pPr>
      <w:r>
        <w:rPr>
          <w:rFonts w:ascii="Times New Roman" w:hAnsi="Times New Roman"/>
          <w:b/>
          <w:color w:val="000000"/>
          <w:sz w:val="21"/>
        </w:rPr>
        <w:t>8. What is double-entry accounting in LedgerSync?</w:t>
      </w:r>
    </w:p>
    <w:p>
      <w:pPr>
        <w:spacing w:after="80" w:line="288" w:lineRule="auto"/>
      </w:pPr>
      <w:r>
        <w:rPr>
          <w:rFonts w:ascii="Times New Roman" w:hAnsi="Times New Roman"/>
          <w:color w:val="000000"/>
          <w:sz w:val="20"/>
        </w:rPr>
        <w:t>Every completed transfer creates equal debit and credit postings. This preserves a balanced journal and makes the movement independently explainable.</w:t>
      </w:r>
    </w:p>
    <w:p>
      <w:pPr>
        <w:spacing w:before="140" w:after="40" w:line="278" w:lineRule="auto"/>
      </w:pPr>
      <w:r>
        <w:rPr>
          <w:rFonts w:ascii="Times New Roman" w:hAnsi="Times New Roman"/>
          <w:b/>
          <w:color w:val="000000"/>
          <w:sz w:val="21"/>
        </w:rPr>
        <w:t>9. What is an cannot be changed later ledger record?</w:t>
      </w:r>
    </w:p>
    <w:p>
      <w:pPr>
        <w:spacing w:after="80" w:line="288" w:lineRule="auto"/>
      </w:pPr>
      <w:r>
        <w:rPr>
          <w:rFonts w:ascii="Times New Roman" w:hAnsi="Times New Roman"/>
          <w:color w:val="000000"/>
          <w:sz w:val="20"/>
        </w:rPr>
        <w:t>Once a financial posting is completed, it is not edited or deleted. A correction is represented by a new correcting record, preserving history.</w:t>
      </w:r>
    </w:p>
    <w:p>
      <w:pPr>
        <w:spacing w:before="140" w:after="40" w:line="278" w:lineRule="auto"/>
      </w:pPr>
      <w:r>
        <w:rPr>
          <w:rFonts w:ascii="Times New Roman" w:hAnsi="Times New Roman"/>
          <w:b/>
          <w:color w:val="000000"/>
          <w:sz w:val="21"/>
        </w:rPr>
        <w:t>10. What is idempotency?</w:t>
      </w:r>
    </w:p>
    <w:p>
      <w:pPr>
        <w:spacing w:after="80" w:line="288" w:lineRule="auto"/>
      </w:pPr>
      <w:r>
        <w:rPr>
          <w:rFonts w:ascii="Times New Roman" w:hAnsi="Times New Roman"/>
          <w:color w:val="000000"/>
          <w:sz w:val="20"/>
        </w:rPr>
        <w:t>Idempotency means retrying the same command with the same key returns the same safely saved outcome rather than performing the financial movement again.</w:t>
      </w:r>
    </w:p>
    <w:p>
      <w:pPr>
        <w:spacing w:before="140" w:after="40" w:line="278" w:lineRule="auto"/>
      </w:pPr>
      <w:r>
        <w:rPr>
          <w:rFonts w:ascii="Times New Roman" w:hAnsi="Times New Roman"/>
          <w:b/>
          <w:color w:val="000000"/>
          <w:sz w:val="21"/>
        </w:rPr>
        <w:t>11. How does LedgerSync handle a lost network response?</w:t>
      </w:r>
    </w:p>
    <w:p>
      <w:pPr>
        <w:spacing w:after="80" w:line="288" w:lineRule="auto"/>
      </w:pPr>
      <w:r>
        <w:rPr>
          <w:rFonts w:ascii="Times New Roman" w:hAnsi="Times New Roman"/>
          <w:color w:val="000000"/>
          <w:sz w:val="20"/>
        </w:rPr>
        <w:t>The user retries the identical request with the retained idempotency key. PostgreSQL resolves whether the original command posted, failed, or is still in progress.</w:t>
      </w:r>
    </w:p>
    <w:p>
      <w:pPr>
        <w:spacing w:before="140" w:after="40" w:line="278" w:lineRule="auto"/>
      </w:pPr>
      <w:r>
        <w:rPr>
          <w:rFonts w:ascii="Times New Roman" w:hAnsi="Times New Roman"/>
          <w:b/>
          <w:color w:val="000000"/>
          <w:sz w:val="21"/>
        </w:rPr>
        <w:t>12. What is the transactional outbox (a saved list of messages to send later) pattern?</w:t>
      </w:r>
    </w:p>
    <w:p>
      <w:pPr>
        <w:spacing w:after="80" w:line="288" w:lineRule="auto"/>
      </w:pPr>
      <w:r>
        <w:rPr>
          <w:rFonts w:ascii="Times New Roman" w:hAnsi="Times New Roman"/>
          <w:color w:val="000000"/>
          <w:sz w:val="20"/>
        </w:rPr>
        <w:t>The API saves an event record in PostgreSQL within the same transaction as ledger changes. A worker delivers it later, so notification failure cannot undo or duplicate money movement.</w:t>
      </w:r>
    </w:p>
    <w:p>
      <w:pPr>
        <w:spacing w:before="140" w:after="40" w:line="278" w:lineRule="auto"/>
      </w:pPr>
      <w:r>
        <w:rPr>
          <w:rFonts w:ascii="Times New Roman" w:hAnsi="Times New Roman"/>
          <w:b/>
          <w:color w:val="000000"/>
          <w:sz w:val="21"/>
        </w:rPr>
        <w:t>13. How does LedgerSync avoid partial writes?</w:t>
      </w:r>
    </w:p>
    <w:p>
      <w:pPr>
        <w:spacing w:after="80" w:line="288" w:lineRule="auto"/>
      </w:pPr>
      <w:r>
        <w:rPr>
          <w:rFonts w:ascii="Times New Roman" w:hAnsi="Times New Roman"/>
          <w:color w:val="000000"/>
          <w:sz w:val="20"/>
        </w:rPr>
        <w:t>A short PostgreSQL transaction commits transfer status, journal, two postings, balance versions, audit, idempotency result, and outbox event together or rolls them all back.</w:t>
      </w:r>
    </w:p>
    <w:p>
      <w:pPr>
        <w:spacing w:before="140" w:after="40" w:line="278" w:lineRule="auto"/>
      </w:pPr>
      <w:r>
        <w:rPr>
          <w:rFonts w:ascii="Times New Roman" w:hAnsi="Times New Roman"/>
          <w:b/>
          <w:color w:val="000000"/>
          <w:sz w:val="21"/>
        </w:rPr>
        <w:t>14. What is reconciliation?</w:t>
      </w:r>
    </w:p>
    <w:p>
      <w:pPr>
        <w:spacing w:after="80" w:line="288" w:lineRule="auto"/>
      </w:pPr>
      <w:r>
        <w:rPr>
          <w:rFonts w:ascii="Times New Roman" w:hAnsi="Times New Roman"/>
          <w:color w:val="000000"/>
          <w:sz w:val="20"/>
        </w:rPr>
        <w:t>Reconciliation checks projected balances against cannot be changed later ledger postings and records whether the customer workspace matched or has a mismatch requiring investigation.</w:t>
      </w:r>
    </w:p>
    <w:p>
      <w:pPr>
        <w:spacing w:before="140" w:after="40" w:line="278" w:lineRule="auto"/>
      </w:pPr>
      <w:r>
        <w:rPr>
          <w:rFonts w:ascii="Times New Roman" w:hAnsi="Times New Roman"/>
          <w:b/>
          <w:color w:val="000000"/>
          <w:sz w:val="21"/>
        </w:rPr>
        <w:t>15. What is showing the latest balance after a successful action?</w:t>
      </w:r>
    </w:p>
    <w:p>
      <w:pPr>
        <w:spacing w:after="80" w:line="288" w:lineRule="auto"/>
      </w:pPr>
      <w:r>
        <w:rPr>
          <w:rFonts w:ascii="Times New Roman" w:hAnsi="Times New Roman"/>
          <w:color w:val="000000"/>
          <w:sz w:val="20"/>
        </w:rPr>
        <w:t>After a completed transfer, LedgerSync provides balance evidence at least as new as the committed version, avoiding a confusing stale cache result immediately after a write.</w:t>
      </w:r>
    </w:p>
    <w:p>
      <w:pPr>
        <w:spacing w:before="140" w:after="40" w:line="278" w:lineRule="auto"/>
      </w:pPr>
      <w:r>
        <w:rPr>
          <w:rFonts w:ascii="Times New Roman" w:hAnsi="Times New Roman"/>
          <w:b/>
          <w:color w:val="000000"/>
          <w:sz w:val="21"/>
        </w:rPr>
        <w:t>16. What is a failure domain in LedgerSync?</w:t>
      </w:r>
    </w:p>
    <w:p>
      <w:pPr>
        <w:spacing w:after="80" w:line="288" w:lineRule="auto"/>
      </w:pPr>
      <w:r>
        <w:rPr>
          <w:rFonts w:ascii="Times New Roman" w:hAnsi="Times New Roman"/>
          <w:color w:val="000000"/>
          <w:sz w:val="20"/>
        </w:rPr>
        <w:t>A failure domain is a component whose failure has a defined effect. Redis failure may slow reads; PostgreSQL failure prevents safe financial writes; worker failure delays delivery but does not undo postings.</w:t>
      </w:r>
    </w:p>
    <w:p>
      <w:pPr>
        <w:spacing w:before="140" w:after="40" w:line="278" w:lineRule="auto"/>
      </w:pPr>
      <w:r>
        <w:rPr>
          <w:rFonts w:ascii="Times New Roman" w:hAnsi="Times New Roman"/>
          <w:b/>
          <w:color w:val="000000"/>
          <w:sz w:val="21"/>
        </w:rPr>
        <w:t>17. How does the project handle concurrency?</w:t>
      </w:r>
    </w:p>
    <w:p>
      <w:pPr>
        <w:spacing w:after="80" w:line="288" w:lineRule="auto"/>
      </w:pPr>
      <w:r>
        <w:rPr>
          <w:rFonts w:ascii="Times New Roman" w:hAnsi="Times New Roman"/>
          <w:color w:val="000000"/>
          <w:sz w:val="20"/>
        </w:rPr>
        <w:t>The database transaction, account-safe commit window, idempotency reservation, and policy checks ensure concurrent transfer requests cannot silently create unsafe duplicate or inconsistent outcomes.</w:t>
      </w:r>
    </w:p>
    <w:p>
      <w:pPr>
        <w:spacing w:before="140" w:after="40" w:line="278" w:lineRule="auto"/>
      </w:pPr>
      <w:r>
        <w:rPr>
          <w:rFonts w:ascii="Times New Roman" w:hAnsi="Times New Roman"/>
          <w:b/>
          <w:color w:val="000000"/>
          <w:sz w:val="21"/>
        </w:rPr>
        <w:t>18. What types of distributed-system transparency are visible here?</w:t>
      </w:r>
    </w:p>
    <w:p>
      <w:pPr>
        <w:spacing w:after="80" w:line="288" w:lineRule="auto"/>
      </w:pPr>
      <w:r>
        <w:rPr>
          <w:rFonts w:ascii="Times New Roman" w:hAnsi="Times New Roman"/>
          <w:color w:val="000000"/>
          <w:sz w:val="20"/>
        </w:rPr>
        <w:t>Access transparency comes from one console/API interface; location transparency from hidden internal services; failure transparency from safe retry guidance; and replication/cache transparency from PostgreSQL fallback.</w:t>
      </w:r>
    </w:p>
    <w:p>
      <w:pPr>
        <w:spacing w:before="140" w:after="40" w:line="278" w:lineRule="auto"/>
      </w:pPr>
      <w:r>
        <w:rPr>
          <w:rFonts w:ascii="Times New Roman" w:hAnsi="Times New Roman"/>
          <w:b/>
          <w:color w:val="000000"/>
          <w:sz w:val="21"/>
        </w:rPr>
        <w:t>19. What is middleware in this project?</w:t>
      </w:r>
    </w:p>
    <w:p>
      <w:pPr>
        <w:spacing w:after="80" w:line="288" w:lineRule="auto"/>
      </w:pPr>
      <w:r>
        <w:rPr>
          <w:rFonts w:ascii="Times New Roman" w:hAnsi="Times New Roman"/>
          <w:color w:val="000000"/>
          <w:sz w:val="20"/>
        </w:rPr>
        <w:t>Middleware includes authentication, authorization, user or service assertion validation, rate limiting, request validation, correlation, security headers, and telemetry applied at service boundaries.</w:t>
      </w:r>
    </w:p>
    <w:p>
      <w:pPr>
        <w:spacing w:before="140" w:after="40" w:line="278" w:lineRule="auto"/>
      </w:pPr>
      <w:r>
        <w:rPr>
          <w:rFonts w:ascii="Times New Roman" w:hAnsi="Times New Roman"/>
          <w:b/>
          <w:color w:val="000000"/>
          <w:sz w:val="21"/>
        </w:rPr>
        <w:t>20. How is security handled across services?</w:t>
      </w:r>
    </w:p>
    <w:p>
      <w:pPr>
        <w:spacing w:after="80" w:line="288" w:lineRule="auto"/>
      </w:pPr>
      <w:r>
        <w:rPr>
          <w:rFonts w:ascii="Times New Roman" w:hAnsi="Times New Roman"/>
          <w:color w:val="000000"/>
          <w:sz w:val="20"/>
        </w:rPr>
        <w:t>The browser uses a same-origin BFF session; the BFF uses a short-lived signed user or service assertion and workload identity; the API verifies OIDC identity, customer workspace mapping, scopes, and account authorization.</w:t>
      </w:r>
    </w:p>
    <w:p>
      <w:pPr>
        <w:spacing w:before="140" w:after="40" w:line="278" w:lineRule="auto"/>
      </w:pPr>
      <w:r>
        <w:rPr>
          <w:rFonts w:ascii="Times New Roman" w:hAnsi="Times New Roman"/>
          <w:b/>
          <w:color w:val="000000"/>
          <w:sz w:val="21"/>
        </w:rPr>
        <w:t>21. What is the role of Docker Compose?</w:t>
      </w:r>
    </w:p>
    <w:p>
      <w:pPr>
        <w:spacing w:after="80" w:line="288" w:lineRule="auto"/>
      </w:pPr>
      <w:r>
        <w:rPr>
          <w:rFonts w:ascii="Times New Roman" w:hAnsi="Times New Roman"/>
          <w:color w:val="000000"/>
          <w:sz w:val="20"/>
        </w:rPr>
        <w:t>Docker Compose defines the local multi-container runtime and networks the web service, API, worker, PostgreSQL, Redis, migrations, and seed process reproducibly.</w:t>
      </w:r>
    </w:p>
    <w:p>
      <w:pPr>
        <w:spacing w:before="140" w:after="40" w:line="278" w:lineRule="auto"/>
      </w:pPr>
      <w:r>
        <w:rPr>
          <w:rFonts w:ascii="Times New Roman" w:hAnsi="Times New Roman"/>
          <w:b/>
          <w:color w:val="000000"/>
          <w:sz w:val="21"/>
        </w:rPr>
        <w:t>22. How does virtualization help LedgerSync?</w:t>
      </w:r>
    </w:p>
    <w:p>
      <w:pPr>
        <w:spacing w:after="80" w:line="288" w:lineRule="auto"/>
      </w:pPr>
      <w:r>
        <w:rPr>
          <w:rFonts w:ascii="Times New Roman" w:hAnsi="Times New Roman"/>
          <w:color w:val="000000"/>
          <w:sz w:val="20"/>
        </w:rPr>
        <w:t>Containers isolate dependencies and make the local system reproducible. A developer can start the same defined service topology without manually installing every dependency.</w:t>
      </w:r>
    </w:p>
    <w:p>
      <w:pPr>
        <w:spacing w:before="140" w:after="40" w:line="278" w:lineRule="auto"/>
      </w:pPr>
      <w:r>
        <w:rPr>
          <w:rFonts w:ascii="Times New Roman" w:hAnsi="Times New Roman"/>
          <w:b/>
          <w:color w:val="000000"/>
          <w:sz w:val="21"/>
        </w:rPr>
        <w:t>23. Is LedgerSync peer-to-peer?</w:t>
      </w:r>
    </w:p>
    <w:p>
      <w:pPr>
        <w:spacing w:after="80" w:line="288" w:lineRule="auto"/>
      </w:pPr>
      <w:r>
        <w:rPr>
          <w:rFonts w:ascii="Times New Roman" w:hAnsi="Times New Roman"/>
          <w:color w:val="000000"/>
          <w:sz w:val="20"/>
        </w:rPr>
        <w:t>No. It is centrally coordinated around PostgreSQL and private API services. Browser clients do not transfer money directly to one another.</w:t>
      </w:r>
    </w:p>
    <w:p>
      <w:pPr>
        <w:spacing w:before="140" w:after="40" w:line="278" w:lineRule="auto"/>
      </w:pPr>
      <w:r>
        <w:rPr>
          <w:rFonts w:ascii="Times New Roman" w:hAnsi="Times New Roman"/>
          <w:b/>
          <w:color w:val="000000"/>
          <w:sz w:val="21"/>
        </w:rPr>
        <w:t>24. Does LedgerSync use a microservices architecture?</w:t>
      </w:r>
    </w:p>
    <w:p>
      <w:pPr>
        <w:spacing w:after="80" w:line="288" w:lineRule="auto"/>
      </w:pPr>
      <w:r>
        <w:rPr>
          <w:rFonts w:ascii="Times New Roman" w:hAnsi="Times New Roman"/>
          <w:color w:val="000000"/>
          <w:sz w:val="20"/>
        </w:rPr>
        <w:t>It uses separately deployable runtime responsibilities such as web/BFF, API, and outbox worker. However, its key design principle is not microservices for their own sake; it is preserving a single final and trusted financial transaction boundary.</w:t>
      </w:r>
    </w:p>
    <w:p>
      <w:pPr>
        <w:spacing w:before="140" w:after="40" w:line="278" w:lineRule="auto"/>
      </w:pPr>
      <w:r>
        <w:rPr>
          <w:rFonts w:ascii="Times New Roman" w:hAnsi="Times New Roman"/>
          <w:b/>
          <w:color w:val="000000"/>
          <w:sz w:val="21"/>
        </w:rPr>
        <w:t>25. Why does the project avoid floating-point numbers for money?</w:t>
      </w:r>
    </w:p>
    <w:p>
      <w:pPr>
        <w:spacing w:after="80" w:line="288" w:lineRule="auto"/>
      </w:pPr>
      <w:r>
        <w:rPr>
          <w:rFonts w:ascii="Times New Roman" w:hAnsi="Times New Roman"/>
          <w:color w:val="000000"/>
          <w:sz w:val="20"/>
        </w:rPr>
        <w:t>Binary floating-point can represent decimal amounts approximately. LedgerSync stores amounts as exact integer minor units, such as paise, to eliminate rounding drift.</w:t>
      </w:r>
    </w:p>
    <w:p>
      <w:pPr>
        <w:spacing w:before="140" w:after="40" w:line="278" w:lineRule="auto"/>
      </w:pPr>
      <w:r>
        <w:rPr>
          <w:rFonts w:ascii="Times New Roman" w:hAnsi="Times New Roman"/>
          <w:b/>
          <w:color w:val="000000"/>
          <w:sz w:val="21"/>
        </w:rPr>
        <w:t>26. What happens if the outbox worker stops?</w:t>
      </w:r>
    </w:p>
    <w:p>
      <w:pPr>
        <w:spacing w:after="80" w:line="288" w:lineRule="auto"/>
      </w:pPr>
      <w:r>
        <w:rPr>
          <w:rFonts w:ascii="Times New Roman" w:hAnsi="Times New Roman"/>
          <w:color w:val="000000"/>
          <w:sz w:val="20"/>
        </w:rPr>
        <w:t>Committed financial records remain correct in PostgreSQL. After the worker restarts, expired leases can be pick up again safelyed and undelivered events can be processed safely.</w:t>
      </w:r>
    </w:p>
    <w:p>
      <w:pPr>
        <w:spacing w:before="140" w:after="40" w:line="278" w:lineRule="auto"/>
      </w:pPr>
      <w:r>
        <w:rPr>
          <w:rFonts w:ascii="Times New Roman" w:hAnsi="Times New Roman"/>
          <w:b/>
          <w:color w:val="000000"/>
          <w:sz w:val="21"/>
        </w:rPr>
        <w:t>27. What happens if Redis is unavailable?</w:t>
      </w:r>
    </w:p>
    <w:p>
      <w:pPr>
        <w:spacing w:after="80" w:line="288" w:lineRule="auto"/>
      </w:pPr>
      <w:r>
        <w:rPr>
          <w:rFonts w:ascii="Times New Roman" w:hAnsi="Times New Roman"/>
          <w:color w:val="000000"/>
          <w:sz w:val="20"/>
        </w:rPr>
        <w:t>Redis loss does not change money. LedgerSync uses final and trusted PostgreSQL reads when possible or truthfully reports that a fresh safe result cannot be proven.</w:t>
      </w:r>
    </w:p>
    <w:p>
      <w:pPr>
        <w:spacing w:before="140" w:after="40" w:line="278" w:lineRule="auto"/>
      </w:pPr>
      <w:r>
        <w:rPr>
          <w:rFonts w:ascii="Times New Roman" w:hAnsi="Times New Roman"/>
          <w:b/>
          <w:color w:val="000000"/>
          <w:sz w:val="21"/>
        </w:rPr>
        <w:t>28. Why is a database constraint important in a distributed financial system?</w:t>
      </w:r>
    </w:p>
    <w:p>
      <w:pPr>
        <w:spacing w:after="80" w:line="288" w:lineRule="auto"/>
      </w:pPr>
      <w:r>
        <w:rPr>
          <w:rFonts w:ascii="Times New Roman" w:hAnsi="Times New Roman"/>
          <w:color w:val="000000"/>
          <w:sz w:val="20"/>
        </w:rPr>
        <w:t>Application code can fail or be bypassed. Database constraints, roles, transactions, and cannot be changed later records protect financial invariants at the safely saved authority.</w:t>
      </w:r>
    </w:p>
    <w:p>
      <w:pPr>
        <w:spacing w:before="140" w:after="40" w:line="278" w:lineRule="auto"/>
      </w:pPr>
      <w:r>
        <w:rPr>
          <w:rFonts w:ascii="Times New Roman" w:hAnsi="Times New Roman"/>
          <w:b/>
          <w:color w:val="000000"/>
          <w:sz w:val="21"/>
        </w:rPr>
        <w:t>29. What is the local project boundary?</w:t>
      </w:r>
    </w:p>
    <w:p>
      <w:pPr>
        <w:spacing w:after="80" w:line="288" w:lineRule="auto"/>
      </w:pPr>
      <w:r>
        <w:rPr>
          <w:rFonts w:ascii="Times New Roman" w:hAnsi="Times New Roman"/>
          <w:color w:val="000000"/>
          <w:sz w:val="20"/>
        </w:rPr>
        <w:t>The demonstrated local product runs on one workstation through loopback access. It is not presented as a public cloud deployment, bank rail, custody service, or production identity setup.</w:t>
      </w:r>
    </w:p>
    <w:p>
      <w:pPr>
        <w:spacing w:before="140" w:after="40" w:line="278" w:lineRule="auto"/>
      </w:pPr>
      <w:r>
        <w:rPr>
          <w:rFonts w:ascii="Times New Roman" w:hAnsi="Times New Roman"/>
          <w:b/>
          <w:color w:val="000000"/>
          <w:sz w:val="21"/>
        </w:rPr>
        <w:t>30. What is LedgerSync's most important distributed-systems lesson?</w:t>
      </w:r>
    </w:p>
    <w:p>
      <w:pPr>
        <w:spacing w:after="80" w:line="288" w:lineRule="auto"/>
      </w:pPr>
      <w:r>
        <w:rPr>
          <w:rFonts w:ascii="Times New Roman" w:hAnsi="Times New Roman"/>
          <w:color w:val="000000"/>
          <w:sz w:val="20"/>
        </w:rPr>
        <w:t>Correctness must survive retries, delays, crashes, cache loss, and partial communication failures. A fast screen alone is not enough for a financial system.</w:t>
      </w:r>
    </w:p>
    <w:p>
      <w:pPr>
        <w:pStyle w:val="Heading1"/>
        <w:keepNext/>
      </w:pPr>
      <w:r>
        <w:rPr>
          <w:rFonts w:ascii="Times New Roman" w:hAnsi="Times New Roman"/>
          <w:b/>
          <w:color w:val="000000"/>
          <w:sz w:val="32"/>
        </w:rPr>
        <w:t>1.11 Ten Unit I facts to memorize</w:t>
      </w:r>
    </w:p>
    <w:p>
      <w:pPr>
        <w:pStyle w:val="ListBullet"/>
        <w:spacing w:after="80" w:line="300" w:lineRule="auto"/>
      </w:pPr>
      <w:r>
        <w:rPr>
          <w:rFonts w:ascii="Times New Roman" w:hAnsi="Times New Roman"/>
          <w:color w:val="000000"/>
          <w:sz w:val="21"/>
        </w:rPr>
        <w:t>LedgerSync is a distributed financial system because independent web, API, worker, database, and cache components cooperate over network boundaries.</w:t>
      </w:r>
    </w:p>
    <w:p>
      <w:pPr>
        <w:pStyle w:val="ListBullet"/>
        <w:spacing w:after="80" w:line="300" w:lineRule="auto"/>
      </w:pPr>
      <w:r>
        <w:rPr>
          <w:rFonts w:ascii="Times New Roman" w:hAnsi="Times New Roman"/>
          <w:color w:val="000000"/>
          <w:sz w:val="21"/>
        </w:rPr>
        <w:t>PostgreSQL is the financial source of truth; Redis is disposable acceleration.</w:t>
      </w:r>
    </w:p>
    <w:p>
      <w:pPr>
        <w:pStyle w:val="ListBullet"/>
        <w:spacing w:after="80" w:line="300" w:lineRule="auto"/>
      </w:pPr>
      <w:r>
        <w:rPr>
          <w:rFonts w:ascii="Times New Roman" w:hAnsi="Times New Roman"/>
          <w:color w:val="000000"/>
          <w:sz w:val="21"/>
        </w:rPr>
        <w:t>Every posted transfer creates exactly two equal and opposite ledger postings.</w:t>
      </w:r>
    </w:p>
    <w:p>
      <w:pPr>
        <w:pStyle w:val="ListBullet"/>
        <w:spacing w:after="80" w:line="300" w:lineRule="auto"/>
      </w:pPr>
      <w:r>
        <w:rPr>
          <w:rFonts w:ascii="Times New Roman" w:hAnsi="Times New Roman"/>
          <w:color w:val="000000"/>
          <w:sz w:val="21"/>
        </w:rPr>
        <w:t>Money is stored as exact integer minor units, never floating-point values.</w:t>
      </w:r>
    </w:p>
    <w:p>
      <w:pPr>
        <w:pStyle w:val="ListBullet"/>
        <w:spacing w:after="80" w:line="300" w:lineRule="auto"/>
      </w:pPr>
      <w:r>
        <w:rPr>
          <w:rFonts w:ascii="Times New Roman" w:hAnsi="Times New Roman"/>
          <w:color w:val="000000"/>
          <w:sz w:val="21"/>
        </w:rPr>
        <w:t>Idempotency means retrying the same intent and key returns one safely saved outcome, not another transfer.</w:t>
      </w:r>
    </w:p>
    <w:p>
      <w:pPr>
        <w:pStyle w:val="ListBullet"/>
        <w:spacing w:after="80" w:line="300" w:lineRule="auto"/>
      </w:pPr>
      <w:r>
        <w:rPr>
          <w:rFonts w:ascii="Times New Roman" w:hAnsi="Times New Roman"/>
          <w:color w:val="000000"/>
          <w:sz w:val="21"/>
        </w:rPr>
        <w:t>The transactional outbox (a saved list of messages to send later) commits delivery work with ledger evidence, then lets a worker deliver it later.</w:t>
      </w:r>
    </w:p>
    <w:p>
      <w:pPr>
        <w:pStyle w:val="ListBullet"/>
        <w:spacing w:after="80" w:line="300" w:lineRule="auto"/>
      </w:pPr>
      <w:r>
        <w:rPr>
          <w:rFonts w:ascii="Times New Roman" w:hAnsi="Times New Roman"/>
          <w:color w:val="000000"/>
          <w:sz w:val="21"/>
        </w:rPr>
        <w:t>The BFF separates browser-facing session handling from private API credentials and database access.</w:t>
      </w:r>
    </w:p>
    <w:p>
      <w:pPr>
        <w:pStyle w:val="ListBullet"/>
        <w:spacing w:after="80" w:line="300" w:lineRule="auto"/>
      </w:pPr>
      <w:r>
        <w:rPr>
          <w:rFonts w:ascii="Times New Roman" w:hAnsi="Times New Roman"/>
          <w:color w:val="000000"/>
          <w:sz w:val="21"/>
        </w:rPr>
        <w:t>Reconciliation compares calculated current balances against cannot be changed later postings and records proof of match or mismatch.</w:t>
      </w:r>
    </w:p>
    <w:p>
      <w:pPr>
        <w:pStyle w:val="ListBullet"/>
        <w:spacing w:after="80" w:line="300" w:lineRule="auto"/>
      </w:pPr>
      <w:r>
        <w:rPr>
          <w:rFonts w:ascii="Times New Roman" w:hAnsi="Times New Roman"/>
          <w:color w:val="000000"/>
          <w:sz w:val="21"/>
        </w:rPr>
        <w:t>Docker Compose virtualizes and reproduces the local multi-container system.</w:t>
      </w:r>
    </w:p>
    <w:p>
      <w:pPr>
        <w:pStyle w:val="ListBullet"/>
        <w:spacing w:after="80" w:line="300" w:lineRule="auto"/>
      </w:pPr>
      <w:r>
        <w:rPr>
          <w:rFonts w:ascii="Times New Roman" w:hAnsi="Times New Roman"/>
          <w:color w:val="000000"/>
          <w:sz w:val="21"/>
        </w:rPr>
        <w:t>A financial system must preserve correctness through retries, cache loss, delays, crashes, and partial communication failure.</w:t>
      </w:r>
    </w:p>
    <w:p>
      <w:pPr>
        <w:pStyle w:val="Heading1"/>
        <w:keepNext/>
      </w:pPr>
      <w:r>
        <w:rPr>
          <w:rFonts w:ascii="Times New Roman" w:hAnsi="Times New Roman"/>
          <w:b/>
          <w:color w:val="000000"/>
          <w:sz w:val="32"/>
        </w:rPr>
        <w:t>1.12 Five Unit I project-explanation answers</w:t>
      </w:r>
    </w:p>
    <w:p>
      <w:pPr>
        <w:spacing w:before="120" w:after="40"/>
      </w:pPr>
      <w:r>
        <w:rPr>
          <w:rFonts w:ascii="Times New Roman" w:hAnsi="Times New Roman"/>
          <w:b/>
          <w:color w:val="000000"/>
          <w:sz w:val="24"/>
        </w:rPr>
        <w:t>How is LedgerSync a distributed system?</w:t>
      </w:r>
    </w:p>
    <w:p>
      <w:pPr>
        <w:spacing w:after="80" w:line="276" w:lineRule="auto"/>
      </w:pPr>
      <w:r>
        <w:rPr>
          <w:rFonts w:ascii="Times New Roman" w:hAnsi="Times New Roman"/>
          <w:color w:val="000000"/>
          <w:sz w:val="24"/>
        </w:rPr>
        <w:t>LedgerSync combines a browser console, Next.js BFF, Go API, outbox worker, PostgreSQL authority, Redis cache/transport, and Docker runtime. These components communicate through defined boundaries but appear to users as one workspace for exact ledger transfers and balances.</w:t>
      </w:r>
    </w:p>
    <w:p>
      <w:pPr>
        <w:spacing w:before="120" w:after="40"/>
      </w:pPr>
      <w:r>
        <w:rPr>
          <w:rFonts w:ascii="Times New Roman" w:hAnsi="Times New Roman"/>
          <w:b/>
          <w:color w:val="000000"/>
          <w:sz w:val="24"/>
        </w:rPr>
        <w:t>Why do you use PostgreSQL and Redis together?</w:t>
      </w:r>
    </w:p>
    <w:p>
      <w:pPr>
        <w:spacing w:after="80" w:line="276" w:lineRule="auto"/>
      </w:pPr>
      <w:r>
        <w:rPr>
          <w:rFonts w:ascii="Times New Roman" w:hAnsi="Times New Roman"/>
          <w:color w:val="000000"/>
          <w:sz w:val="24"/>
        </w:rPr>
        <w:t>PostgreSQL is the safely saved authority because it can atomically store journals, postings, idempotency outcomes, audit records, and outbox work. Redis improves speed and delivery support, but it may be rebuilt because it is never allowed to decide financial truth.</w:t>
      </w:r>
    </w:p>
    <w:p>
      <w:pPr>
        <w:spacing w:before="120" w:after="40"/>
      </w:pPr>
      <w:r>
        <w:rPr>
          <w:rFonts w:ascii="Times New Roman" w:hAnsi="Times New Roman"/>
          <w:b/>
          <w:color w:val="000000"/>
          <w:sz w:val="24"/>
        </w:rPr>
        <w:t>How do you solve consistency in LedgerSync?</w:t>
      </w:r>
    </w:p>
    <w:p>
      <w:pPr>
        <w:spacing w:after="80" w:line="276" w:lineRule="auto"/>
      </w:pPr>
      <w:r>
        <w:rPr>
          <w:rFonts w:ascii="Times New Roman" w:hAnsi="Times New Roman"/>
          <w:color w:val="000000"/>
          <w:sz w:val="24"/>
        </w:rPr>
        <w:t>LedgerSync puts all financial effects of a completed transfer into one PostgreSQL transaction: transfer status, journal, debit posting, credit posting, balance versions, audit, idempotency result, and outbox. The system either commits the complete evidence or rolls all of it back.</w:t>
      </w:r>
    </w:p>
    <w:p>
      <w:pPr>
        <w:spacing w:before="120" w:after="40"/>
      </w:pPr>
      <w:r>
        <w:rPr>
          <w:rFonts w:ascii="Times New Roman" w:hAnsi="Times New Roman"/>
          <w:b/>
          <w:color w:val="000000"/>
          <w:sz w:val="24"/>
        </w:rPr>
        <w:t>How does the system recover from failure?</w:t>
      </w:r>
    </w:p>
    <w:p>
      <w:pPr>
        <w:spacing w:after="80" w:line="276" w:lineRule="auto"/>
      </w:pPr>
      <w:r>
        <w:rPr>
          <w:rFonts w:ascii="Times New Roman" w:hAnsi="Times New Roman"/>
          <w:color w:val="000000"/>
          <w:sz w:val="24"/>
        </w:rPr>
        <w:t>The system uses same-key idempotent retry for lost responses, safely saved outbox leases for worker loss, final and trusted reads after cache loss, backup/restore procedures, and reconciliation to prove restored calculated current balances agree with cannot be changed later postings.</w:t>
      </w:r>
    </w:p>
    <w:p>
      <w:pPr>
        <w:spacing w:before="120" w:after="40"/>
      </w:pPr>
      <w:r>
        <w:rPr>
          <w:rFonts w:ascii="Times New Roman" w:hAnsi="Times New Roman"/>
          <w:b/>
          <w:color w:val="000000"/>
          <w:sz w:val="24"/>
        </w:rPr>
        <w:t>How does Docker help your project?</w:t>
      </w:r>
    </w:p>
    <w:p>
      <w:pPr>
        <w:spacing w:after="80" w:line="276" w:lineRule="auto"/>
      </w:pPr>
      <w:r>
        <w:rPr>
          <w:rFonts w:ascii="Times New Roman" w:hAnsi="Times New Roman"/>
          <w:color w:val="000000"/>
          <w:sz w:val="24"/>
        </w:rPr>
        <w:t>Docker packages each runtime dependency and Docker Compose defines the multi-service topology. This makes local setup repeatable and lets the team test the same web, API, worker, PostgreSQL, Redis, migration, and seed relationships consistently.</w:t>
      </w:r>
    </w:p>
    <w:p>
      <w:r>
        <w:br w:type="page"/>
      </w:r>
    </w:p>
    <w:p>
      <w:pPr>
        <w:pStyle w:val="Heading1"/>
        <w:keepNext/>
      </w:pPr>
      <w:r>
        <w:rPr>
          <w:rFonts w:ascii="Times New Roman" w:hAnsi="Times New Roman"/>
          <w:b/>
          <w:color w:val="000000"/>
          <w:sz w:val="32"/>
        </w:rPr>
        <w:t>Unit 2: Communication</w:t>
      </w:r>
    </w:p>
    <w:p>
      <w:pPr>
        <w:spacing w:before="0" w:after="120" w:line="276" w:lineRule="auto"/>
      </w:pPr>
      <w:r>
        <w:rPr>
          <w:rFonts w:ascii="Times New Roman" w:hAnsi="Times New Roman"/>
          <w:b w:val="0"/>
          <w:i/>
          <w:color w:val="000000"/>
          <w:sz w:val="21"/>
        </w:rPr>
        <w:t>Syllabus focus: Fundamentals of communication, RPC, message-oriented communication, stream-oriented communication, P2P messaging, WebRTC, names/identifiers/addresses, and fault tolerance.</w:t>
      </w:r>
    </w:p>
    <w:p>
      <w:pPr>
        <w:pStyle w:val="Heading2"/>
        <w:keepNext/>
      </w:pPr>
      <w:r>
        <w:rPr>
          <w:rFonts w:ascii="Times New Roman" w:hAnsi="Times New Roman"/>
          <w:b/>
          <w:color w:val="000000"/>
          <w:sz w:val="28"/>
        </w:rPr>
        <w:t>2.1 Communication in LedgerSync</w:t>
      </w:r>
    </w:p>
    <w:p>
      <w:pPr>
        <w:spacing w:before="0" w:after="120" w:line="276" w:lineRule="auto"/>
      </w:pPr>
      <w:r>
        <w:rPr>
          <w:rFonts w:ascii="Times New Roman" w:hAnsi="Times New Roman"/>
          <w:b w:val="0"/>
          <w:i w:val="0"/>
          <w:color w:val="000000"/>
          <w:sz w:val="22"/>
        </w:rPr>
        <w:t>Communication is central to LedgerSync because the most dangerous failure occurs when a client does not know whether a remote financial command was completed. The project treats communication as evidence-bearing: every mutation is authenticated, validated, correlated, idempotent, safely saved, and safely retryable.</w:t>
      </w:r>
    </w:p>
    <w:p>
      <w:pPr>
        <w:spacing w:before="120" w:after="40" w:line="276" w:lineRule="auto"/>
      </w:pPr>
      <w:r>
        <w:rPr>
          <w:rFonts w:ascii="Times New Roman" w:hAnsi="Times New Roman"/>
          <w:b/>
          <w:color w:val="000000"/>
          <w:sz w:val="24"/>
        </w:rPr>
        <w:t xml:space="preserve">Exam-ready principle: </w:t>
      </w:r>
      <w:r>
        <w:rPr>
          <w:rFonts w:ascii="Times New Roman" w:hAnsi="Times New Roman"/>
          <w:color w:val="000000"/>
          <w:sz w:val="24"/>
        </w:rPr>
        <w:t>In LedgerSync, a timeout is not automatically a failed transfer. It is a response-unknown state. The safe recovery action is to retry the exact same intent with the retained idempotency key.</w:t>
      </w:r>
    </w:p>
    <w:p>
      <w:pPr>
        <w:pStyle w:val="Heading2"/>
        <w:keepNext/>
      </w:pPr>
      <w:r>
        <w:rPr>
          <w:rFonts w:ascii="Times New Roman" w:hAnsi="Times New Roman"/>
          <w:b/>
          <w:color w:val="000000"/>
          <w:sz w:val="28"/>
        </w:rPr>
        <w:t>2.2 Concept-to-project mapping</w:t>
      </w:r>
    </w:p>
    <w:tbl>
      <w:tblPr>
        <w:tblStyle w:val="TableGrid"/>
        <w:tblW w:type="dxa" w:w="9360"/>
        <w:jc w:val="left"/>
        <w:tblLayout w:type="fixed"/>
        <w:tblLook w:firstColumn="1" w:firstRow="1" w:lastColumn="0" w:lastRow="0" w:noHBand="0" w:noVBand="1" w:val="04A0"/>
        <w:tblInd w:w="120" w:type="dxa"/>
      </w:tblPr>
      <w:tblGrid>
        <w:gridCol w:w="1400"/>
        <w:gridCol w:w="1550"/>
        <w:gridCol w:w="620"/>
        <w:gridCol w:w="3380"/>
        <w:gridCol w:w="2410"/>
      </w:tblGrid>
      <w:tr>
        <w:trPr>
          <w:tblHeader w:val="true"/>
        </w:trPr>
        <w:tc>
          <w:tcPr>
            <w:tcW w:type="dxa" w:w="1400"/>
            <w:tcMar>
              <w:top w:w="80" w:type="dxa"/>
              <w:start w:w="120" w:type="dxa"/>
              <w:bottom w:w="80" w:type="dxa"/>
              <w:end w:w="120" w:type="dxa"/>
            </w:tcMar>
            <w:vAlign w:val="center"/>
          </w:tcPr>
          <w:p>
            <w:pPr>
              <w:spacing w:after="0"/>
            </w:pPr>
            <w:r>
              <w:rPr>
                <w:rFonts w:ascii="Times New Roman" w:hAnsi="Times New Roman"/>
                <w:b/>
                <w:color w:val="000000"/>
                <w:sz w:val="17"/>
              </w:rPr>
              <w:t>Concept</w:t>
            </w:r>
          </w:p>
        </w:tc>
        <w:tc>
          <w:tcPr>
            <w:tcW w:type="dxa" w:w="1550"/>
            <w:tcMar>
              <w:top w:w="80" w:type="dxa"/>
              <w:start w:w="120" w:type="dxa"/>
              <w:bottom w:w="80" w:type="dxa"/>
              <w:end w:w="120" w:type="dxa"/>
            </w:tcMar>
            <w:vAlign w:val="center"/>
          </w:tcPr>
          <w:p>
            <w:pPr>
              <w:spacing w:after="0"/>
            </w:pPr>
            <w:r>
              <w:rPr>
                <w:rFonts w:ascii="Times New Roman" w:hAnsi="Times New Roman"/>
                <w:b/>
                <w:color w:val="000000"/>
                <w:sz w:val="17"/>
              </w:rPr>
              <w:t>Meaning</w:t>
            </w:r>
          </w:p>
        </w:tc>
        <w:tc>
          <w:tcPr>
            <w:tcW w:type="dxa" w:w="620"/>
            <w:tcMar>
              <w:top w:w="80" w:type="dxa"/>
              <w:start w:w="120" w:type="dxa"/>
              <w:bottom w:w="80" w:type="dxa"/>
              <w:end w:w="120" w:type="dxa"/>
            </w:tcMar>
            <w:vAlign w:val="center"/>
          </w:tcPr>
          <w:p>
            <w:pPr>
              <w:spacing w:after="0"/>
            </w:pPr>
            <w:r>
              <w:rPr>
                <w:rFonts w:ascii="Times New Roman" w:hAnsi="Times New Roman"/>
                <w:b/>
                <w:color w:val="000000"/>
                <w:sz w:val="17"/>
              </w:rPr>
              <w:t>Used?</w:t>
            </w:r>
          </w:p>
        </w:tc>
        <w:tc>
          <w:tcPr>
            <w:tcW w:type="dxa" w:w="3380"/>
            <w:tcMar>
              <w:top w:w="80" w:type="dxa"/>
              <w:start w:w="120" w:type="dxa"/>
              <w:bottom w:w="80" w:type="dxa"/>
              <w:end w:w="120" w:type="dxa"/>
            </w:tcMar>
            <w:vAlign w:val="center"/>
          </w:tcPr>
          <w:p>
            <w:pPr>
              <w:spacing w:after="0"/>
            </w:pPr>
            <w:r>
              <w:rPr>
                <w:rFonts w:ascii="Times New Roman" w:hAnsi="Times New Roman"/>
                <w:b/>
                <w:color w:val="000000"/>
                <w:sz w:val="17"/>
              </w:rPr>
              <w:t>LedgerSync evidence</w:t>
            </w:r>
          </w:p>
        </w:tc>
        <w:tc>
          <w:tcPr>
            <w:tcW w:type="dxa" w:w="2410"/>
            <w:tcMar>
              <w:top w:w="80" w:type="dxa"/>
              <w:start w:w="120" w:type="dxa"/>
              <w:bottom w:w="80" w:type="dxa"/>
              <w:end w:w="120" w:type="dxa"/>
            </w:tcMar>
            <w:vAlign w:val="center"/>
          </w:tcPr>
          <w:p>
            <w:pPr>
              <w:spacing w:after="0"/>
            </w:pPr>
            <w:r>
              <w:rPr>
                <w:rFonts w:ascii="Times New Roman" w:hAnsi="Times New Roman"/>
                <w:b/>
                <w:color w:val="000000"/>
                <w:sz w:val="17"/>
              </w:rPr>
              <w:t>Why it matters</w:t>
            </w:r>
          </w:p>
        </w:tc>
      </w:tr>
      <w:tr>
        <w:tc>
          <w:tcPr>
            <w:tcW w:type="dxa" w:w="1400"/>
          </w:tcPr>
          <w:p>
            <w:pPr>
              <w:spacing w:after="0" w:line="264" w:lineRule="auto"/>
            </w:pPr>
            <w:r>
              <w:rPr>
                <w:rFonts w:ascii="Times New Roman" w:hAnsi="Times New Roman"/>
                <w:b/>
                <w:color w:val="000000"/>
                <w:sz w:val="16"/>
              </w:rPr>
              <w:t>HTTP/REST</w:t>
            </w:r>
          </w:p>
        </w:tc>
        <w:tc>
          <w:tcPr>
            <w:tcW w:type="dxa" w:w="1550"/>
          </w:tcPr>
          <w:p>
            <w:pPr>
              <w:spacing w:after="0" w:line="264" w:lineRule="auto"/>
            </w:pPr>
            <w:r>
              <w:rPr>
                <w:rFonts w:ascii="Times New Roman" w:hAnsi="Times New Roman"/>
                <w:b w:val="0"/>
                <w:color w:val="000000"/>
                <w:sz w:val="16"/>
              </w:rPr>
              <w:t>Request-response communication over HTTP.</w:t>
            </w:r>
          </w:p>
        </w:tc>
        <w:tc>
          <w:tcPr>
            <w:tcW w:type="dxa" w:w="620"/>
          </w:tcPr>
          <w:p>
            <w:pPr>
              <w:spacing w:after="0" w:line="264" w:lineRule="auto"/>
            </w:pPr>
            <w:r>
              <w:rPr>
                <w:rFonts w:ascii="Times New Roman" w:hAnsi="Times New Roman"/>
                <w:b w:val="0"/>
                <w:color w:val="000000"/>
                <w:sz w:val="16"/>
              </w:rPr>
              <w:t>Yes</w:t>
            </w:r>
          </w:p>
        </w:tc>
        <w:tc>
          <w:tcPr>
            <w:tcW w:type="dxa" w:w="3380"/>
          </w:tcPr>
          <w:p>
            <w:pPr>
              <w:spacing w:after="0" w:line="264" w:lineRule="auto"/>
            </w:pPr>
            <w:r>
              <w:rPr>
                <w:rFonts w:ascii="Times New Roman" w:hAnsi="Times New Roman"/>
                <w:b w:val="0"/>
                <w:color w:val="000000"/>
                <w:sz w:val="16"/>
              </w:rPr>
              <w:t>Browser calls same-origin BFF routes; BFF proxies to private Go API routes.</w:t>
            </w:r>
          </w:p>
        </w:tc>
        <w:tc>
          <w:tcPr>
            <w:tcW w:type="dxa" w:w="2410"/>
          </w:tcPr>
          <w:p>
            <w:pPr>
              <w:spacing w:after="0" w:line="264" w:lineRule="auto"/>
            </w:pPr>
            <w:r>
              <w:rPr>
                <w:rFonts w:ascii="Times New Roman" w:hAnsi="Times New Roman"/>
                <w:b w:val="0"/>
                <w:color w:val="000000"/>
                <w:sz w:val="16"/>
              </w:rPr>
              <w:t>Simple, inspectable, contract-defined interface for accounts, transfers, funding, reconciliation, and evidence.</w:t>
            </w:r>
          </w:p>
        </w:tc>
      </w:tr>
      <w:tr>
        <w:tc>
          <w:tcPr>
            <w:tcW w:type="dxa" w:w="1400"/>
          </w:tcPr>
          <w:p>
            <w:pPr>
              <w:spacing w:after="0" w:line="264" w:lineRule="auto"/>
            </w:pPr>
            <w:r>
              <w:rPr>
                <w:rFonts w:ascii="Times New Roman" w:hAnsi="Times New Roman"/>
                <w:b/>
                <w:color w:val="000000"/>
                <w:sz w:val="16"/>
              </w:rPr>
              <w:t>RPC</w:t>
            </w:r>
          </w:p>
        </w:tc>
        <w:tc>
          <w:tcPr>
            <w:tcW w:type="dxa" w:w="1550"/>
          </w:tcPr>
          <w:p>
            <w:pPr>
              <w:spacing w:after="0" w:line="264" w:lineRule="auto"/>
            </w:pPr>
            <w:r>
              <w:rPr>
                <w:rFonts w:ascii="Times New Roman" w:hAnsi="Times New Roman"/>
                <w:b w:val="0"/>
                <w:color w:val="000000"/>
                <w:sz w:val="16"/>
              </w:rPr>
              <w:t>A remote call that invokes a server-side operation.</w:t>
            </w:r>
          </w:p>
        </w:tc>
        <w:tc>
          <w:tcPr>
            <w:tcW w:type="dxa" w:w="620"/>
          </w:tcPr>
          <w:p>
            <w:pPr>
              <w:spacing w:after="0" w:line="264" w:lineRule="auto"/>
            </w:pPr>
            <w:r>
              <w:rPr>
                <w:rFonts w:ascii="Times New Roman" w:hAnsi="Times New Roman"/>
                <w:b w:val="0"/>
                <w:color w:val="000000"/>
                <w:sz w:val="16"/>
              </w:rPr>
              <w:t>Yes, REST style</w:t>
            </w:r>
          </w:p>
        </w:tc>
        <w:tc>
          <w:tcPr>
            <w:tcW w:type="dxa" w:w="3380"/>
          </w:tcPr>
          <w:p>
            <w:pPr>
              <w:spacing w:after="0" w:line="264" w:lineRule="auto"/>
            </w:pPr>
            <w:r>
              <w:rPr>
                <w:rFonts w:ascii="Times New Roman" w:hAnsi="Times New Roman"/>
                <w:b w:val="0"/>
                <w:color w:val="000000"/>
                <w:sz w:val="16"/>
              </w:rPr>
              <w:t>POST/PATCH commands invoke remote business actions such as transfer, account lifecycle, funding, and reconciliation.</w:t>
            </w:r>
          </w:p>
        </w:tc>
        <w:tc>
          <w:tcPr>
            <w:tcW w:type="dxa" w:w="2410"/>
          </w:tcPr>
          <w:p>
            <w:pPr>
              <w:spacing w:after="0" w:line="264" w:lineRule="auto"/>
            </w:pPr>
            <w:r>
              <w:rPr>
                <w:rFonts w:ascii="Times New Roman" w:hAnsi="Times New Roman"/>
                <w:b w:val="0"/>
                <w:color w:val="000000"/>
                <w:sz w:val="16"/>
              </w:rPr>
              <w:t>Requests must be idempotent because remote calls can time out after the server commits.</w:t>
            </w:r>
          </w:p>
        </w:tc>
      </w:tr>
      <w:tr>
        <w:tc>
          <w:tcPr>
            <w:tcW w:type="dxa" w:w="1400"/>
          </w:tcPr>
          <w:p>
            <w:pPr>
              <w:spacing w:after="0" w:line="264" w:lineRule="auto"/>
            </w:pPr>
            <w:r>
              <w:rPr>
                <w:rFonts w:ascii="Times New Roman" w:hAnsi="Times New Roman"/>
                <w:b/>
                <w:color w:val="000000"/>
                <w:sz w:val="16"/>
              </w:rPr>
              <w:t>Message-oriented communication</w:t>
            </w:r>
          </w:p>
        </w:tc>
        <w:tc>
          <w:tcPr>
            <w:tcW w:type="dxa" w:w="1550"/>
          </w:tcPr>
          <w:p>
            <w:pPr>
              <w:spacing w:after="0" w:line="264" w:lineRule="auto"/>
            </w:pPr>
            <w:r>
              <w:rPr>
                <w:rFonts w:ascii="Times New Roman" w:hAnsi="Times New Roman"/>
                <w:b w:val="0"/>
                <w:color w:val="000000"/>
                <w:sz w:val="16"/>
              </w:rPr>
              <w:t>Components exchange safely saved messages later in the background.</w:t>
            </w:r>
          </w:p>
        </w:tc>
        <w:tc>
          <w:tcPr>
            <w:tcW w:type="dxa" w:w="620"/>
          </w:tcPr>
          <w:p>
            <w:pPr>
              <w:spacing w:after="0" w:line="264" w:lineRule="auto"/>
            </w:pPr>
            <w:r>
              <w:rPr>
                <w:rFonts w:ascii="Times New Roman" w:hAnsi="Times New Roman"/>
                <w:b w:val="0"/>
                <w:color w:val="000000"/>
                <w:sz w:val="16"/>
              </w:rPr>
              <w:t>Yes</w:t>
            </w:r>
          </w:p>
        </w:tc>
        <w:tc>
          <w:tcPr>
            <w:tcW w:type="dxa" w:w="3380"/>
          </w:tcPr>
          <w:p>
            <w:pPr>
              <w:spacing w:after="0" w:line="264" w:lineRule="auto"/>
            </w:pPr>
            <w:r>
              <w:rPr>
                <w:rFonts w:ascii="Times New Roman" w:hAnsi="Times New Roman"/>
                <w:b w:val="0"/>
                <w:color w:val="000000"/>
                <w:sz w:val="16"/>
              </w:rPr>
              <w:t>PostgreSQL transactional outbox (a saved list of messages to send later), outbox worker, signed webhook delivery jobs, delivery attempts, and Redis Streams transport adapter.</w:t>
            </w:r>
          </w:p>
        </w:tc>
        <w:tc>
          <w:tcPr>
            <w:tcW w:type="dxa" w:w="2410"/>
          </w:tcPr>
          <w:p>
            <w:pPr>
              <w:spacing w:after="0" w:line="264" w:lineRule="auto"/>
            </w:pPr>
            <w:r>
              <w:rPr>
                <w:rFonts w:ascii="Times New Roman" w:hAnsi="Times New Roman"/>
                <w:b w:val="0"/>
                <w:color w:val="000000"/>
                <w:sz w:val="16"/>
              </w:rPr>
              <w:t>Notifications/delivery can fail or retry independently from financial posting.</w:t>
            </w:r>
          </w:p>
        </w:tc>
      </w:tr>
      <w:tr>
        <w:tc>
          <w:tcPr>
            <w:tcW w:type="dxa" w:w="1400"/>
          </w:tcPr>
          <w:p>
            <w:pPr>
              <w:spacing w:after="0" w:line="264" w:lineRule="auto"/>
            </w:pPr>
            <w:r>
              <w:rPr>
                <w:rFonts w:ascii="Times New Roman" w:hAnsi="Times New Roman"/>
                <w:b/>
                <w:color w:val="000000"/>
                <w:sz w:val="16"/>
              </w:rPr>
              <w:t>Stream-oriented communication</w:t>
            </w:r>
          </w:p>
        </w:tc>
        <w:tc>
          <w:tcPr>
            <w:tcW w:type="dxa" w:w="1550"/>
          </w:tcPr>
          <w:p>
            <w:pPr>
              <w:spacing w:after="0" w:line="264" w:lineRule="auto"/>
            </w:pPr>
            <w:r>
              <w:rPr>
                <w:rFonts w:ascii="Times New Roman" w:hAnsi="Times New Roman"/>
                <w:b w:val="0"/>
                <w:color w:val="000000"/>
                <w:sz w:val="16"/>
              </w:rPr>
              <w:t>Continuous ordered byte/media stream communication.</w:t>
            </w:r>
          </w:p>
        </w:tc>
        <w:tc>
          <w:tcPr>
            <w:tcW w:type="dxa" w:w="620"/>
          </w:tcPr>
          <w:p>
            <w:pPr>
              <w:spacing w:after="0" w:line="264" w:lineRule="auto"/>
            </w:pPr>
            <w:r>
              <w:rPr>
                <w:rFonts w:ascii="Times New Roman" w:hAnsi="Times New Roman"/>
                <w:b w:val="0"/>
                <w:color w:val="000000"/>
                <w:sz w:val="16"/>
              </w:rPr>
              <w:t>Not primary</w:t>
            </w:r>
          </w:p>
        </w:tc>
        <w:tc>
          <w:tcPr>
            <w:tcW w:type="dxa" w:w="3380"/>
          </w:tcPr>
          <w:p>
            <w:pPr>
              <w:spacing w:after="0" w:line="264" w:lineRule="auto"/>
            </w:pPr>
            <w:r>
              <w:rPr>
                <w:rFonts w:ascii="Times New Roman" w:hAnsi="Times New Roman"/>
                <w:b w:val="0"/>
                <w:color w:val="000000"/>
                <w:sz w:val="16"/>
              </w:rPr>
              <w:t>No customer-facing media/data stream is required for the pilot.</w:t>
            </w:r>
          </w:p>
        </w:tc>
        <w:tc>
          <w:tcPr>
            <w:tcW w:type="dxa" w:w="2410"/>
          </w:tcPr>
          <w:p>
            <w:pPr>
              <w:spacing w:after="0" w:line="264" w:lineRule="auto"/>
            </w:pPr>
            <w:r>
              <w:rPr>
                <w:rFonts w:ascii="Times New Roman" w:hAnsi="Times New Roman"/>
                <w:b w:val="0"/>
                <w:color w:val="000000"/>
                <w:sz w:val="16"/>
              </w:rPr>
              <w:t>LedgerSync favors bounded API responses, safely saved events, and explicit polling/refresh evidence.</w:t>
            </w:r>
          </w:p>
        </w:tc>
      </w:tr>
      <w:tr>
        <w:tc>
          <w:tcPr>
            <w:tcW w:type="dxa" w:w="1400"/>
          </w:tcPr>
          <w:p>
            <w:pPr>
              <w:spacing w:after="0" w:line="264" w:lineRule="auto"/>
            </w:pPr>
            <w:r>
              <w:rPr>
                <w:rFonts w:ascii="Times New Roman" w:hAnsi="Times New Roman"/>
                <w:b/>
                <w:color w:val="000000"/>
                <w:sz w:val="16"/>
              </w:rPr>
              <w:t>Names, identifiers, addresses</w:t>
            </w:r>
          </w:p>
        </w:tc>
        <w:tc>
          <w:tcPr>
            <w:tcW w:type="dxa" w:w="1550"/>
          </w:tcPr>
          <w:p>
            <w:pPr>
              <w:spacing w:after="0" w:line="264" w:lineRule="auto"/>
            </w:pPr>
            <w:r>
              <w:rPr>
                <w:rFonts w:ascii="Times New Roman" w:hAnsi="Times New Roman"/>
                <w:b w:val="0"/>
                <w:color w:val="000000"/>
                <w:sz w:val="16"/>
              </w:rPr>
              <w:t>Ways to identify people, accounts, requests, and endpoints.</w:t>
            </w:r>
          </w:p>
        </w:tc>
        <w:tc>
          <w:tcPr>
            <w:tcW w:type="dxa" w:w="620"/>
          </w:tcPr>
          <w:p>
            <w:pPr>
              <w:spacing w:after="0" w:line="264" w:lineRule="auto"/>
            </w:pPr>
            <w:r>
              <w:rPr>
                <w:rFonts w:ascii="Times New Roman" w:hAnsi="Times New Roman"/>
                <w:b w:val="0"/>
                <w:color w:val="000000"/>
                <w:sz w:val="16"/>
              </w:rPr>
              <w:t>Yes</w:t>
            </w:r>
          </w:p>
        </w:tc>
        <w:tc>
          <w:tcPr>
            <w:tcW w:type="dxa" w:w="3380"/>
          </w:tcPr>
          <w:p>
            <w:pPr>
              <w:spacing w:after="0" w:line="264" w:lineRule="auto"/>
            </w:pPr>
            <w:r>
              <w:rPr>
                <w:rFonts w:ascii="Times New Roman" w:hAnsi="Times New Roman"/>
                <w:b w:val="0"/>
                <w:color w:val="000000"/>
                <w:sz w:val="16"/>
              </w:rPr>
              <w:t>Tenant/account/transfer/journal/outbox IDs, subject IDs, idempotency keys, correlation IDs, OIDC issuer/audience/client identifiers.</w:t>
            </w:r>
          </w:p>
        </w:tc>
        <w:tc>
          <w:tcPr>
            <w:tcW w:type="dxa" w:w="2410"/>
          </w:tcPr>
          <w:p>
            <w:pPr>
              <w:spacing w:after="0" w:line="264" w:lineRule="auto"/>
            </w:pPr>
            <w:r>
              <w:rPr>
                <w:rFonts w:ascii="Times New Roman" w:hAnsi="Times New Roman"/>
                <w:b w:val="0"/>
                <w:color w:val="000000"/>
                <w:sz w:val="16"/>
              </w:rPr>
              <w:t>Stable identifiers make retry, authorization, traceability, and support investigation possible.</w:t>
            </w:r>
          </w:p>
        </w:tc>
      </w:tr>
      <w:tr>
        <w:tc>
          <w:tcPr>
            <w:tcW w:type="dxa" w:w="1400"/>
          </w:tcPr>
          <w:p>
            <w:pPr>
              <w:spacing w:after="0" w:line="264" w:lineRule="auto"/>
            </w:pPr>
            <w:r>
              <w:rPr>
                <w:rFonts w:ascii="Times New Roman" w:hAnsi="Times New Roman"/>
                <w:b/>
                <w:color w:val="000000"/>
                <w:sz w:val="16"/>
              </w:rPr>
              <w:t>Fault tolerance</w:t>
            </w:r>
          </w:p>
        </w:tc>
        <w:tc>
          <w:tcPr>
            <w:tcW w:type="dxa" w:w="1550"/>
          </w:tcPr>
          <w:p>
            <w:pPr>
              <w:spacing w:after="0" w:line="264" w:lineRule="auto"/>
            </w:pPr>
            <w:r>
              <w:rPr>
                <w:rFonts w:ascii="Times New Roman" w:hAnsi="Times New Roman"/>
                <w:b w:val="0"/>
                <w:color w:val="000000"/>
                <w:sz w:val="16"/>
              </w:rPr>
              <w:t>Ability to continue or recover safely after failures.</w:t>
            </w:r>
          </w:p>
        </w:tc>
        <w:tc>
          <w:tcPr>
            <w:tcW w:type="dxa" w:w="620"/>
          </w:tcPr>
          <w:p>
            <w:pPr>
              <w:spacing w:after="0" w:line="264" w:lineRule="auto"/>
            </w:pPr>
            <w:r>
              <w:rPr>
                <w:rFonts w:ascii="Times New Roman" w:hAnsi="Times New Roman"/>
                <w:b w:val="0"/>
                <w:color w:val="000000"/>
                <w:sz w:val="16"/>
              </w:rPr>
              <w:t>Yes</w:t>
            </w:r>
          </w:p>
        </w:tc>
        <w:tc>
          <w:tcPr>
            <w:tcW w:type="dxa" w:w="3380"/>
          </w:tcPr>
          <w:p>
            <w:pPr>
              <w:spacing w:after="0" w:line="264" w:lineRule="auto"/>
            </w:pPr>
            <w:r>
              <w:rPr>
                <w:rFonts w:ascii="Times New Roman" w:hAnsi="Times New Roman"/>
                <w:b w:val="0"/>
                <w:color w:val="000000"/>
                <w:sz w:val="16"/>
              </w:rPr>
              <w:t>Same-key retry, PostgreSQL rollback, outbox pick up again safely, cache rebuild, health checks, backup/restore drill, reconciliation.</w:t>
            </w:r>
          </w:p>
        </w:tc>
        <w:tc>
          <w:tcPr>
            <w:tcW w:type="dxa" w:w="2410"/>
          </w:tcPr>
          <w:p>
            <w:pPr>
              <w:spacing w:after="0" w:line="264" w:lineRule="auto"/>
            </w:pPr>
            <w:r>
              <w:rPr>
                <w:rFonts w:ascii="Times New Roman" w:hAnsi="Times New Roman"/>
                <w:b w:val="0"/>
                <w:color w:val="000000"/>
                <w:sz w:val="16"/>
              </w:rPr>
              <w:t>The system prioritizes safe known state over a misleading response.</w:t>
            </w:r>
          </w:p>
        </w:tc>
      </w:tr>
      <w:tr>
        <w:tc>
          <w:tcPr>
            <w:tcW w:type="dxa" w:w="1400"/>
          </w:tcPr>
          <w:p>
            <w:pPr>
              <w:spacing w:after="0" w:line="264" w:lineRule="auto"/>
            </w:pPr>
            <w:r>
              <w:rPr>
                <w:rFonts w:ascii="Times New Roman" w:hAnsi="Times New Roman"/>
                <w:b/>
                <w:color w:val="000000"/>
                <w:sz w:val="16"/>
              </w:rPr>
              <w:t>P2P messaging</w:t>
            </w:r>
          </w:p>
        </w:tc>
        <w:tc>
          <w:tcPr>
            <w:tcW w:type="dxa" w:w="1550"/>
          </w:tcPr>
          <w:p>
            <w:pPr>
              <w:spacing w:after="0" w:line="264" w:lineRule="auto"/>
            </w:pPr>
            <w:r>
              <w:rPr>
                <w:rFonts w:ascii="Times New Roman" w:hAnsi="Times New Roman"/>
                <w:b w:val="0"/>
                <w:color w:val="000000"/>
                <w:sz w:val="16"/>
              </w:rPr>
              <w:t>Peers exchange messages directly without a central server.</w:t>
            </w:r>
          </w:p>
        </w:tc>
        <w:tc>
          <w:tcPr>
            <w:tcW w:type="dxa" w:w="620"/>
          </w:tcPr>
          <w:p>
            <w:pPr>
              <w:spacing w:after="0" w:line="264" w:lineRule="auto"/>
            </w:pPr>
            <w:r>
              <w:rPr>
                <w:rFonts w:ascii="Times New Roman" w:hAnsi="Times New Roman"/>
                <w:b w:val="0"/>
                <w:color w:val="000000"/>
                <w:sz w:val="16"/>
              </w:rPr>
              <w:t>No</w:t>
            </w:r>
          </w:p>
        </w:tc>
        <w:tc>
          <w:tcPr>
            <w:tcW w:type="dxa" w:w="3380"/>
          </w:tcPr>
          <w:p>
            <w:pPr>
              <w:spacing w:after="0" w:line="264" w:lineRule="auto"/>
            </w:pPr>
            <w:r>
              <w:rPr>
                <w:rFonts w:ascii="Times New Roman" w:hAnsi="Times New Roman"/>
                <w:b w:val="0"/>
                <w:color w:val="000000"/>
                <w:sz w:val="16"/>
              </w:rPr>
              <w:t>Out of scope.</w:t>
            </w:r>
          </w:p>
        </w:tc>
        <w:tc>
          <w:tcPr>
            <w:tcW w:type="dxa" w:w="2410"/>
          </w:tcPr>
          <w:p>
            <w:pPr>
              <w:spacing w:after="0" w:line="264" w:lineRule="auto"/>
            </w:pPr>
            <w:r>
              <w:rPr>
                <w:rFonts w:ascii="Times New Roman" w:hAnsi="Times New Roman"/>
                <w:b w:val="0"/>
                <w:color w:val="000000"/>
                <w:sz w:val="16"/>
              </w:rPr>
              <w:t>Direct peer messaging would weaken the centralized financial authority model.</w:t>
            </w:r>
          </w:p>
        </w:tc>
      </w:tr>
      <w:tr>
        <w:tc>
          <w:tcPr>
            <w:tcW w:type="dxa" w:w="1400"/>
          </w:tcPr>
          <w:p>
            <w:pPr>
              <w:spacing w:after="0" w:line="264" w:lineRule="auto"/>
            </w:pPr>
            <w:r>
              <w:rPr>
                <w:rFonts w:ascii="Times New Roman" w:hAnsi="Times New Roman"/>
                <w:b/>
                <w:color w:val="000000"/>
                <w:sz w:val="16"/>
              </w:rPr>
              <w:t>WebRTC</w:t>
            </w:r>
          </w:p>
        </w:tc>
        <w:tc>
          <w:tcPr>
            <w:tcW w:type="dxa" w:w="1550"/>
          </w:tcPr>
          <w:p>
            <w:pPr>
              <w:spacing w:after="0" w:line="264" w:lineRule="auto"/>
            </w:pPr>
            <w:r>
              <w:rPr>
                <w:rFonts w:ascii="Times New Roman" w:hAnsi="Times New Roman"/>
                <w:b w:val="0"/>
                <w:color w:val="000000"/>
                <w:sz w:val="16"/>
              </w:rPr>
              <w:t>Browser-to-browser real-time data/audio/video protocol.</w:t>
            </w:r>
          </w:p>
        </w:tc>
        <w:tc>
          <w:tcPr>
            <w:tcW w:type="dxa" w:w="620"/>
          </w:tcPr>
          <w:p>
            <w:pPr>
              <w:spacing w:after="0" w:line="264" w:lineRule="auto"/>
            </w:pPr>
            <w:r>
              <w:rPr>
                <w:rFonts w:ascii="Times New Roman" w:hAnsi="Times New Roman"/>
                <w:b w:val="0"/>
                <w:color w:val="000000"/>
                <w:sz w:val="16"/>
              </w:rPr>
              <w:t>No</w:t>
            </w:r>
          </w:p>
        </w:tc>
        <w:tc>
          <w:tcPr>
            <w:tcW w:type="dxa" w:w="3380"/>
          </w:tcPr>
          <w:p>
            <w:pPr>
              <w:spacing w:after="0" w:line="264" w:lineRule="auto"/>
            </w:pPr>
            <w:r>
              <w:rPr>
                <w:rFonts w:ascii="Times New Roman" w:hAnsi="Times New Roman"/>
                <w:b w:val="0"/>
                <w:color w:val="000000"/>
                <w:sz w:val="16"/>
              </w:rPr>
              <w:t>Out of scope.</w:t>
            </w:r>
          </w:p>
        </w:tc>
        <w:tc>
          <w:tcPr>
            <w:tcW w:type="dxa" w:w="2410"/>
          </w:tcPr>
          <w:p>
            <w:pPr>
              <w:spacing w:after="0" w:line="264" w:lineRule="auto"/>
            </w:pPr>
            <w:r>
              <w:rPr>
                <w:rFonts w:ascii="Times New Roman" w:hAnsi="Times New Roman"/>
                <w:b w:val="0"/>
                <w:color w:val="000000"/>
                <w:sz w:val="16"/>
              </w:rPr>
              <w:t>Not appropriate for posting or proving financial records.</w:t>
            </w:r>
          </w:p>
        </w:tc>
      </w:tr>
    </w:tbl>
    <w:p>
      <w:pPr>
        <w:spacing w:before="0" w:after="80" w:line="276" w:lineRule="auto"/>
      </w:pPr>
      <w:r>
        <w:rPr>
          <w:rFonts w:ascii="Times New Roman" w:hAnsi="Times New Roman"/>
          <w:b w:val="0"/>
          <w:i w:val="0"/>
          <w:color w:val="000000"/>
          <w:sz w:val="4"/>
        </w:rPr>
      </w:r>
    </w:p>
    <w:p>
      <w:pPr>
        <w:pStyle w:val="Heading2"/>
        <w:keepNext/>
      </w:pPr>
      <w:r>
        <w:rPr>
          <w:rFonts w:ascii="Times New Roman" w:hAnsi="Times New Roman"/>
          <w:b/>
          <w:color w:val="000000"/>
          <w:sz w:val="28"/>
        </w:rPr>
        <w:t>2.3 Browser to ledger communication</w:t>
      </w:r>
    </w:p>
    <w:p>
      <w:pPr>
        <w:spacing w:after="160" w:line="276" w:lineRule="auto"/>
      </w:pPr>
      <w:r>
        <w:rPr>
          <w:rFonts w:ascii="Times New Roman" w:hAnsi="Times New Roman"/>
          <w:b/>
          <w:color w:val="000000"/>
          <w:sz w:val="22"/>
        </w:rPr>
        <w:t>Browser -&gt; HTTPS + cookie -&gt; BFF -&gt; OIDC/assertion -&gt; Private API -&gt; PostgreSQL</w:t>
      </w:r>
    </w:p>
    <w:p>
      <w:pPr>
        <w:pStyle w:val="Heading2"/>
        <w:keepNext/>
      </w:pPr>
      <w:r>
        <w:rPr>
          <w:rFonts w:ascii="Times New Roman" w:hAnsi="Times New Roman"/>
          <w:b/>
          <w:color w:val="000000"/>
          <w:sz w:val="28"/>
        </w:rPr>
        <w:t>2.4 Fundamentals of communication</w:t>
      </w:r>
    </w:p>
    <w:p>
      <w:pPr>
        <w:pStyle w:val="ListBullet"/>
        <w:spacing w:after="80" w:line="300" w:lineRule="auto"/>
      </w:pPr>
      <w:r>
        <w:rPr>
          <w:rFonts w:ascii="Times New Roman" w:hAnsi="Times New Roman"/>
          <w:color w:val="000000"/>
          <w:sz w:val="21"/>
        </w:rPr>
        <w:t>The browser uses same-origin HTTPS to call the BFF. Browser code does not see database credentials or direct internal-service addresses.</w:t>
      </w:r>
    </w:p>
    <w:p>
      <w:pPr>
        <w:pStyle w:val="ListBullet"/>
        <w:spacing w:after="80" w:line="300" w:lineRule="auto"/>
      </w:pPr>
      <w:r>
        <w:rPr>
          <w:rFonts w:ascii="Times New Roman" w:hAnsi="Times New Roman"/>
          <w:color w:val="000000"/>
          <w:sz w:val="21"/>
        </w:rPr>
        <w:t>The BFF validates the session and write protections, then creates the server-to-server authenticated API request.</w:t>
      </w:r>
    </w:p>
    <w:p>
      <w:pPr>
        <w:pStyle w:val="ListBullet"/>
        <w:spacing w:after="80" w:line="300" w:lineRule="auto"/>
      </w:pPr>
      <w:r>
        <w:rPr>
          <w:rFonts w:ascii="Times New Roman" w:hAnsi="Times New Roman"/>
          <w:color w:val="000000"/>
          <w:sz w:val="21"/>
        </w:rPr>
        <w:t>The API validates identity, customer workspace mapping, scopes, user or service delegation, request shape, exact money, policies, and authorization.</w:t>
      </w:r>
    </w:p>
    <w:p>
      <w:pPr>
        <w:pStyle w:val="ListBullet"/>
        <w:spacing w:after="80" w:line="300" w:lineRule="auto"/>
      </w:pPr>
      <w:r>
        <w:rPr>
          <w:rFonts w:ascii="Times New Roman" w:hAnsi="Times New Roman"/>
          <w:color w:val="000000"/>
          <w:sz w:val="21"/>
        </w:rPr>
        <w:t>Responses contain a stable outcome, a safe public error code, and a correlation/reference value needed for support.</w:t>
      </w:r>
    </w:p>
    <w:p>
      <w:pPr>
        <w:pStyle w:val="ListBullet"/>
        <w:spacing w:after="80" w:line="300" w:lineRule="auto"/>
      </w:pPr>
      <w:r>
        <w:rPr>
          <w:rFonts w:ascii="Times New Roman" w:hAnsi="Times New Roman"/>
          <w:color w:val="000000"/>
          <w:sz w:val="21"/>
        </w:rPr>
        <w:t>All mutation requests use an idempotency key so network retries remain safe.</w:t>
      </w:r>
    </w:p>
    <w:p>
      <w:pPr>
        <w:pStyle w:val="Heading2"/>
        <w:keepNext/>
      </w:pPr>
      <w:r>
        <w:rPr>
          <w:rFonts w:ascii="Times New Roman" w:hAnsi="Times New Roman"/>
          <w:b/>
          <w:color w:val="000000"/>
          <w:sz w:val="28"/>
        </w:rPr>
        <w:t>2.5 RPC in LedgerSync</w:t>
      </w:r>
    </w:p>
    <w:p>
      <w:pPr>
        <w:spacing w:before="0" w:after="120" w:line="276" w:lineRule="auto"/>
      </w:pPr>
      <w:r>
        <w:rPr>
          <w:rFonts w:ascii="Times New Roman" w:hAnsi="Times New Roman"/>
          <w:b w:val="0"/>
          <w:i w:val="0"/>
          <w:color w:val="000000"/>
          <w:sz w:val="22"/>
        </w:rPr>
        <w:t>LedgerSync uses REST-style HTTP commands rather than exposing raw database operations. Creating an account, posting a transfer, initiating a reconciliation run, recording funding evidence, and requesting a correction are remote procedure calls expressed through controlled HTTP endpoints.</w:t>
      </w:r>
    </w:p>
    <w:tbl>
      <w:tblPr>
        <w:tblStyle w:val="TableGrid"/>
        <w:tblW w:type="dxa" w:w="9360"/>
        <w:jc w:val="left"/>
        <w:tblLayout w:type="fixed"/>
        <w:tblLook w:firstColumn="1" w:firstRow="1" w:lastColumn="0" w:lastRow="0" w:noHBand="0" w:noVBand="1" w:val="04A0"/>
        <w:tblInd w:w="120" w:type="dxa"/>
      </w:tblPr>
      <w:tblGrid>
        <w:gridCol w:w="2050"/>
        <w:gridCol w:w="4660"/>
        <w:gridCol w:w="2650"/>
      </w:tblGrid>
      <w:tr>
        <w:trPr>
          <w:tblHeader w:val="true"/>
        </w:trPr>
        <w:tc>
          <w:tcPr>
            <w:tcW w:type="dxa" w:w="2050"/>
            <w:tcMar>
              <w:top w:w="80" w:type="dxa"/>
              <w:start w:w="120" w:type="dxa"/>
              <w:bottom w:w="80" w:type="dxa"/>
              <w:end w:w="120" w:type="dxa"/>
            </w:tcMar>
            <w:vAlign w:val="center"/>
          </w:tcPr>
          <w:p>
            <w:pPr>
              <w:spacing w:after="0"/>
            </w:pPr>
            <w:r>
              <w:rPr>
                <w:rFonts w:ascii="Times New Roman" w:hAnsi="Times New Roman"/>
                <w:b/>
                <w:color w:val="000000"/>
                <w:sz w:val="17"/>
              </w:rPr>
              <w:t>Remote command</w:t>
            </w:r>
          </w:p>
        </w:tc>
        <w:tc>
          <w:tcPr>
            <w:tcW w:type="dxa" w:w="4660"/>
            <w:tcMar>
              <w:top w:w="80" w:type="dxa"/>
              <w:start w:w="120" w:type="dxa"/>
              <w:bottom w:w="80" w:type="dxa"/>
              <w:end w:w="120" w:type="dxa"/>
            </w:tcMar>
            <w:vAlign w:val="center"/>
          </w:tcPr>
          <w:p>
            <w:pPr>
              <w:spacing w:after="0"/>
            </w:pPr>
            <w:r>
              <w:rPr>
                <w:rFonts w:ascii="Times New Roman" w:hAnsi="Times New Roman"/>
                <w:b/>
                <w:color w:val="000000"/>
                <w:sz w:val="17"/>
              </w:rPr>
              <w:t>Communication safety rule</w:t>
            </w:r>
          </w:p>
        </w:tc>
        <w:tc>
          <w:tcPr>
            <w:tcW w:type="dxa" w:w="2650"/>
            <w:tcMar>
              <w:top w:w="80" w:type="dxa"/>
              <w:start w:w="120" w:type="dxa"/>
              <w:bottom w:w="80" w:type="dxa"/>
              <w:end w:w="120" w:type="dxa"/>
            </w:tcMar>
            <w:vAlign w:val="center"/>
          </w:tcPr>
          <w:p>
            <w:pPr>
              <w:spacing w:after="0"/>
            </w:pPr>
            <w:r>
              <w:rPr>
                <w:rFonts w:ascii="Times New Roman" w:hAnsi="Times New Roman"/>
                <w:b/>
                <w:color w:val="000000"/>
                <w:sz w:val="17"/>
              </w:rPr>
              <w:t>Result</w:t>
            </w:r>
          </w:p>
        </w:tc>
      </w:tr>
      <w:tr>
        <w:tc>
          <w:tcPr>
            <w:tcW w:type="dxa" w:w="2050"/>
          </w:tcPr>
          <w:p>
            <w:pPr>
              <w:spacing w:after="0" w:line="264" w:lineRule="auto"/>
            </w:pPr>
            <w:r>
              <w:rPr>
                <w:rFonts w:ascii="Times New Roman" w:hAnsi="Times New Roman"/>
                <w:b/>
                <w:color w:val="000000"/>
                <w:sz w:val="16"/>
              </w:rPr>
              <w:t>Create transfer</w:t>
            </w:r>
          </w:p>
        </w:tc>
        <w:tc>
          <w:tcPr>
            <w:tcW w:type="dxa" w:w="4660"/>
          </w:tcPr>
          <w:p>
            <w:pPr>
              <w:spacing w:after="0" w:line="264" w:lineRule="auto"/>
            </w:pPr>
            <w:r>
              <w:rPr>
                <w:rFonts w:ascii="Times New Roman" w:hAnsi="Times New Roman"/>
                <w:b w:val="0"/>
                <w:color w:val="000000"/>
                <w:sz w:val="16"/>
              </w:rPr>
              <w:t>CSRF/session checks, exact body, idempotency key, authorization, velocity policy.</w:t>
            </w:r>
          </w:p>
        </w:tc>
        <w:tc>
          <w:tcPr>
            <w:tcW w:type="dxa" w:w="2650"/>
          </w:tcPr>
          <w:p>
            <w:pPr>
              <w:spacing w:after="0" w:line="264" w:lineRule="auto"/>
            </w:pPr>
            <w:r>
              <w:rPr>
                <w:rFonts w:ascii="Times New Roman" w:hAnsi="Times New Roman"/>
                <w:b w:val="0"/>
                <w:color w:val="000000"/>
                <w:sz w:val="16"/>
              </w:rPr>
              <w:t>One posted/rejected/unknown safely saved transfer outcome.</w:t>
            </w:r>
          </w:p>
        </w:tc>
      </w:tr>
      <w:tr>
        <w:tc>
          <w:tcPr>
            <w:tcW w:type="dxa" w:w="2050"/>
          </w:tcPr>
          <w:p>
            <w:pPr>
              <w:spacing w:after="0" w:line="264" w:lineRule="auto"/>
            </w:pPr>
            <w:r>
              <w:rPr>
                <w:rFonts w:ascii="Times New Roman" w:hAnsi="Times New Roman"/>
                <w:b/>
                <w:color w:val="000000"/>
                <w:sz w:val="16"/>
              </w:rPr>
              <w:t>Account command</w:t>
            </w:r>
          </w:p>
        </w:tc>
        <w:tc>
          <w:tcPr>
            <w:tcW w:type="dxa" w:w="4660"/>
          </w:tcPr>
          <w:p>
            <w:pPr>
              <w:spacing w:after="0" w:line="264" w:lineRule="auto"/>
            </w:pPr>
            <w:r>
              <w:rPr>
                <w:rFonts w:ascii="Times New Roman" w:hAnsi="Times New Roman"/>
                <w:b w:val="0"/>
                <w:color w:val="000000"/>
                <w:sz w:val="16"/>
              </w:rPr>
              <w:t>Tenant/account authorization and command-specific idempotency.</w:t>
            </w:r>
          </w:p>
        </w:tc>
        <w:tc>
          <w:tcPr>
            <w:tcW w:type="dxa" w:w="2650"/>
          </w:tcPr>
          <w:p>
            <w:pPr>
              <w:spacing w:after="0" w:line="264" w:lineRule="auto"/>
            </w:pPr>
            <w:r>
              <w:rPr>
                <w:rFonts w:ascii="Times New Roman" w:hAnsi="Times New Roman"/>
                <w:b w:val="0"/>
                <w:color w:val="000000"/>
                <w:sz w:val="16"/>
              </w:rPr>
              <w:t>Account created or lifecycle change with audit/outbox evidence.</w:t>
            </w:r>
          </w:p>
        </w:tc>
      </w:tr>
      <w:tr>
        <w:tc>
          <w:tcPr>
            <w:tcW w:type="dxa" w:w="2050"/>
          </w:tcPr>
          <w:p>
            <w:pPr>
              <w:spacing w:after="0" w:line="264" w:lineRule="auto"/>
            </w:pPr>
            <w:r>
              <w:rPr>
                <w:rFonts w:ascii="Times New Roman" w:hAnsi="Times New Roman"/>
                <w:b/>
                <w:color w:val="000000"/>
                <w:sz w:val="16"/>
              </w:rPr>
              <w:t>Funding evidence</w:t>
            </w:r>
          </w:p>
        </w:tc>
        <w:tc>
          <w:tcPr>
            <w:tcW w:type="dxa" w:w="4660"/>
          </w:tcPr>
          <w:p>
            <w:pPr>
              <w:spacing w:after="0" w:line="264" w:lineRule="auto"/>
            </w:pPr>
            <w:r>
              <w:rPr>
                <w:rFonts w:ascii="Times New Roman" w:hAnsi="Times New Roman"/>
                <w:b w:val="0"/>
                <w:color w:val="000000"/>
                <w:sz w:val="16"/>
              </w:rPr>
              <w:t>Exact amount, evidence reference, controlled roles, approval path, idempotency.</w:t>
            </w:r>
          </w:p>
        </w:tc>
        <w:tc>
          <w:tcPr>
            <w:tcW w:type="dxa" w:w="2650"/>
          </w:tcPr>
          <w:p>
            <w:pPr>
              <w:spacing w:after="0" w:line="264" w:lineRule="auto"/>
            </w:pPr>
            <w:r>
              <w:rPr>
                <w:rFonts w:ascii="Times New Roman" w:hAnsi="Times New Roman"/>
                <w:b w:val="0"/>
                <w:color w:val="000000"/>
                <w:sz w:val="16"/>
              </w:rPr>
              <w:t>Recorded external-value evidence; not a bank-deposit claim.</w:t>
            </w:r>
          </w:p>
        </w:tc>
      </w:tr>
      <w:tr>
        <w:tc>
          <w:tcPr>
            <w:tcW w:type="dxa" w:w="2050"/>
          </w:tcPr>
          <w:p>
            <w:pPr>
              <w:spacing w:after="0" w:line="264" w:lineRule="auto"/>
            </w:pPr>
            <w:r>
              <w:rPr>
                <w:rFonts w:ascii="Times New Roman" w:hAnsi="Times New Roman"/>
                <w:b/>
                <w:color w:val="000000"/>
                <w:sz w:val="16"/>
              </w:rPr>
              <w:t>Correction</w:t>
            </w:r>
          </w:p>
        </w:tc>
        <w:tc>
          <w:tcPr>
            <w:tcW w:type="dxa" w:w="4660"/>
          </w:tcPr>
          <w:p>
            <w:pPr>
              <w:spacing w:after="0" w:line="264" w:lineRule="auto"/>
            </w:pPr>
            <w:r>
              <w:rPr>
                <w:rFonts w:ascii="Times New Roman" w:hAnsi="Times New Roman"/>
                <w:b w:val="0"/>
                <w:color w:val="000000"/>
                <w:sz w:val="16"/>
              </w:rPr>
              <w:t>Reference original record, reason, independent approval, idempotency.</w:t>
            </w:r>
          </w:p>
        </w:tc>
        <w:tc>
          <w:tcPr>
            <w:tcW w:type="dxa" w:w="2650"/>
          </w:tcPr>
          <w:p>
            <w:pPr>
              <w:spacing w:after="0" w:line="264" w:lineRule="auto"/>
            </w:pPr>
            <w:r>
              <w:rPr>
                <w:rFonts w:ascii="Times New Roman" w:hAnsi="Times New Roman"/>
                <w:b w:val="0"/>
                <w:color w:val="000000"/>
                <w:sz w:val="16"/>
              </w:rPr>
              <w:t>New correcting journal; original remains cannot be changed later.</w:t>
            </w:r>
          </w:p>
        </w:tc>
      </w:tr>
      <w:tr>
        <w:tc>
          <w:tcPr>
            <w:tcW w:type="dxa" w:w="2050"/>
          </w:tcPr>
          <w:p>
            <w:pPr>
              <w:spacing w:after="0" w:line="264" w:lineRule="auto"/>
            </w:pPr>
            <w:r>
              <w:rPr>
                <w:rFonts w:ascii="Times New Roman" w:hAnsi="Times New Roman"/>
                <w:b/>
                <w:color w:val="000000"/>
                <w:sz w:val="16"/>
              </w:rPr>
              <w:t>Run reconciliation</w:t>
            </w:r>
          </w:p>
        </w:tc>
        <w:tc>
          <w:tcPr>
            <w:tcW w:type="dxa" w:w="4660"/>
          </w:tcPr>
          <w:p>
            <w:pPr>
              <w:spacing w:after="0" w:line="264" w:lineRule="auto"/>
            </w:pPr>
            <w:r>
              <w:rPr>
                <w:rFonts w:ascii="Times New Roman" w:hAnsi="Times New Roman"/>
                <w:b w:val="0"/>
                <w:color w:val="000000"/>
                <w:sz w:val="16"/>
              </w:rPr>
              <w:t>Authorized customer workspace command, idempotency, safe temporary-unavailable response.</w:t>
            </w:r>
          </w:p>
        </w:tc>
        <w:tc>
          <w:tcPr>
            <w:tcW w:type="dxa" w:w="2650"/>
          </w:tcPr>
          <w:p>
            <w:pPr>
              <w:spacing w:after="0" w:line="264" w:lineRule="auto"/>
            </w:pPr>
            <w:r>
              <w:rPr>
                <w:rFonts w:ascii="Times New Roman" w:hAnsi="Times New Roman"/>
                <w:b w:val="0"/>
                <w:color w:val="000000"/>
                <w:sz w:val="16"/>
              </w:rPr>
              <w:t>Persisted matched/mismatch evidence and correlation.</w:t>
            </w:r>
          </w:p>
        </w:tc>
      </w:tr>
    </w:tbl>
    <w:p>
      <w:pPr>
        <w:spacing w:before="0" w:after="80" w:line="276" w:lineRule="auto"/>
      </w:pPr>
      <w:r>
        <w:rPr>
          <w:rFonts w:ascii="Times New Roman" w:hAnsi="Times New Roman"/>
          <w:b w:val="0"/>
          <w:i w:val="0"/>
          <w:color w:val="000000"/>
          <w:sz w:val="4"/>
        </w:rPr>
      </w:r>
    </w:p>
    <w:p>
      <w:pPr>
        <w:pStyle w:val="Heading2"/>
        <w:keepNext/>
      </w:pPr>
      <w:r>
        <w:rPr>
          <w:rFonts w:ascii="Times New Roman" w:hAnsi="Times New Roman"/>
          <w:b/>
          <w:color w:val="000000"/>
          <w:sz w:val="28"/>
        </w:rPr>
        <w:t>2.6 Message-oriented communication</w:t>
      </w:r>
    </w:p>
    <w:p>
      <w:pPr>
        <w:spacing w:before="0" w:after="120" w:line="276" w:lineRule="auto"/>
      </w:pPr>
      <w:r>
        <w:rPr>
          <w:rFonts w:ascii="Times New Roman" w:hAnsi="Times New Roman"/>
          <w:b w:val="0"/>
          <w:i w:val="0"/>
          <w:color w:val="000000"/>
          <w:sz w:val="22"/>
        </w:rPr>
        <w:t>A posted transfer does not synchronously depend on cache publication or webhook/event delivery. Instead, PostgreSQL records an outbox event in the same commit as the ledger. The worker later claims, delivers, retries, records attempts, and surfaces dead delivery state. This makes background communication observable and recoverable.</w:t>
      </w:r>
    </w:p>
    <w:p>
      <w:pPr>
        <w:pStyle w:val="Heading2"/>
        <w:keepNext/>
      </w:pPr>
      <w:r>
        <w:rPr>
          <w:rFonts w:ascii="Times New Roman" w:hAnsi="Times New Roman"/>
          <w:b/>
          <w:color w:val="000000"/>
          <w:sz w:val="28"/>
        </w:rPr>
        <w:t>Transactional outbox (a saved list of messages to send later) delivery</w:t>
      </w:r>
    </w:p>
    <w:p>
      <w:pPr>
        <w:spacing w:after="160" w:line="276" w:lineRule="auto"/>
      </w:pPr>
      <w:r>
        <w:rPr>
          <w:rFonts w:ascii="Times New Roman" w:hAnsi="Times New Roman"/>
          <w:b/>
          <w:color w:val="000000"/>
          <w:sz w:val="22"/>
        </w:rPr>
        <w:t>PG commit -&gt; Outbox event -&gt; Worker lease -&gt; Deliver -&gt; Attempt evidence -&gt; Retry/replay</w:t>
      </w:r>
    </w:p>
    <w:p>
      <w:pPr>
        <w:pStyle w:val="ListBullet"/>
        <w:spacing w:after="80" w:line="300" w:lineRule="auto"/>
      </w:pPr>
      <w:r>
        <w:rPr>
          <w:rFonts w:ascii="Times New Roman" w:hAnsi="Times New Roman"/>
          <w:color w:val="000000"/>
          <w:sz w:val="21"/>
        </w:rPr>
        <w:t>An outbox record exists only when the related financial transaction commits.</w:t>
      </w:r>
    </w:p>
    <w:p>
      <w:pPr>
        <w:pStyle w:val="ListBullet"/>
        <w:spacing w:after="80" w:line="300" w:lineRule="auto"/>
      </w:pPr>
      <w:r>
        <w:rPr>
          <w:rFonts w:ascii="Times New Roman" w:hAnsi="Times New Roman"/>
          <w:color w:val="000000"/>
          <w:sz w:val="21"/>
        </w:rPr>
        <w:t>The worker uses lease/pick up again safely behavior so work can recover after process loss.</w:t>
      </w:r>
    </w:p>
    <w:p>
      <w:pPr>
        <w:pStyle w:val="ListBullet"/>
        <w:spacing w:after="80" w:line="300" w:lineRule="auto"/>
      </w:pPr>
      <w:r>
        <w:rPr>
          <w:rFonts w:ascii="Times New Roman" w:hAnsi="Times New Roman"/>
          <w:color w:val="000000"/>
          <w:sz w:val="21"/>
        </w:rPr>
        <w:t>Delivery attempts store sanitized status and error evidence for investigation.</w:t>
      </w:r>
    </w:p>
    <w:p>
      <w:pPr>
        <w:pStyle w:val="ListBullet"/>
        <w:spacing w:after="80" w:line="300" w:lineRule="auto"/>
      </w:pPr>
      <w:r>
        <w:rPr>
          <w:rFonts w:ascii="Times New Roman" w:hAnsi="Times New Roman"/>
          <w:color w:val="000000"/>
          <w:sz w:val="21"/>
        </w:rPr>
        <w:t>Redis Streams may transport events, but PostgreSQL retains the final and trusted outbox record.</w:t>
      </w:r>
    </w:p>
    <w:p>
      <w:pPr>
        <w:pStyle w:val="ListBullet"/>
        <w:spacing w:after="80" w:line="300" w:lineRule="auto"/>
      </w:pPr>
      <w:r>
        <w:rPr>
          <w:rFonts w:ascii="Times New Roman" w:hAnsi="Times New Roman"/>
          <w:color w:val="000000"/>
          <w:sz w:val="21"/>
        </w:rPr>
        <w:t>A delivery delay cannot create, cancel, or alter a posted financial journal.</w:t>
      </w:r>
    </w:p>
    <w:p>
      <w:pPr>
        <w:pStyle w:val="Heading2"/>
        <w:keepNext/>
      </w:pPr>
      <w:r>
        <w:rPr>
          <w:rFonts w:ascii="Times New Roman" w:hAnsi="Times New Roman"/>
          <w:b/>
          <w:color w:val="000000"/>
          <w:sz w:val="28"/>
        </w:rPr>
        <w:t>2.7 Names, identifiers, and addresses</w:t>
      </w:r>
    </w:p>
    <w:tbl>
      <w:tblPr>
        <w:tblStyle w:val="TableGrid"/>
        <w:tblW w:type="dxa" w:w="9360"/>
        <w:jc w:val="left"/>
        <w:tblLayout w:type="fixed"/>
        <w:tblLook w:firstColumn="1" w:firstRow="1" w:lastColumn="0" w:lastRow="0" w:noHBand="0" w:noVBand="1" w:val="04A0"/>
        <w:tblInd w:w="120" w:type="dxa"/>
      </w:tblPr>
      <w:tblGrid>
        <w:gridCol w:w="2400"/>
        <w:gridCol w:w="4440"/>
        <w:gridCol w:w="2520"/>
      </w:tblGrid>
      <w:tr>
        <w:trPr>
          <w:tblHeader w:val="true"/>
        </w:trPr>
        <w:tc>
          <w:tcPr>
            <w:tcW w:type="dxa" w:w="2400"/>
            <w:tcMar>
              <w:top w:w="80" w:type="dxa"/>
              <w:start w:w="120" w:type="dxa"/>
              <w:bottom w:w="80" w:type="dxa"/>
              <w:end w:w="120" w:type="dxa"/>
            </w:tcMar>
            <w:vAlign w:val="center"/>
          </w:tcPr>
          <w:p>
            <w:pPr>
              <w:spacing w:after="0"/>
            </w:pPr>
            <w:r>
              <w:rPr>
                <w:rFonts w:ascii="Times New Roman" w:hAnsi="Times New Roman"/>
                <w:b/>
                <w:color w:val="000000"/>
                <w:sz w:val="17"/>
              </w:rPr>
              <w:t>Identifier</w:t>
            </w:r>
          </w:p>
        </w:tc>
        <w:tc>
          <w:tcPr>
            <w:tcW w:type="dxa" w:w="4440"/>
            <w:tcMar>
              <w:top w:w="80" w:type="dxa"/>
              <w:start w:w="120" w:type="dxa"/>
              <w:bottom w:w="80" w:type="dxa"/>
              <w:end w:w="120" w:type="dxa"/>
            </w:tcMar>
            <w:vAlign w:val="center"/>
          </w:tcPr>
          <w:p>
            <w:pPr>
              <w:spacing w:after="0"/>
            </w:pPr>
            <w:r>
              <w:rPr>
                <w:rFonts w:ascii="Times New Roman" w:hAnsi="Times New Roman"/>
                <w:b/>
                <w:color w:val="000000"/>
                <w:sz w:val="17"/>
              </w:rPr>
              <w:t>Purpose in LedgerSync</w:t>
            </w:r>
          </w:p>
        </w:tc>
        <w:tc>
          <w:tcPr>
            <w:tcW w:type="dxa" w:w="2520"/>
            <w:tcMar>
              <w:top w:w="80" w:type="dxa"/>
              <w:start w:w="120" w:type="dxa"/>
              <w:bottom w:w="80" w:type="dxa"/>
              <w:end w:w="120" w:type="dxa"/>
            </w:tcMar>
            <w:vAlign w:val="center"/>
          </w:tcPr>
          <w:p>
            <w:pPr>
              <w:spacing w:after="0"/>
            </w:pPr>
            <w:r>
              <w:rPr>
                <w:rFonts w:ascii="Times New Roman" w:hAnsi="Times New Roman"/>
                <w:b/>
                <w:color w:val="000000"/>
                <w:sz w:val="17"/>
              </w:rPr>
              <w:t>Safety value</w:t>
            </w:r>
          </w:p>
        </w:tc>
      </w:tr>
      <w:tr>
        <w:tc>
          <w:tcPr>
            <w:tcW w:type="dxa" w:w="2400"/>
          </w:tcPr>
          <w:p>
            <w:pPr>
              <w:spacing w:after="0" w:line="264" w:lineRule="auto"/>
            </w:pPr>
            <w:r>
              <w:rPr>
                <w:rFonts w:ascii="Times New Roman" w:hAnsi="Times New Roman"/>
                <w:b/>
                <w:color w:val="000000"/>
                <w:sz w:val="16"/>
              </w:rPr>
              <w:t>Tenant ID</w:t>
            </w:r>
          </w:p>
        </w:tc>
        <w:tc>
          <w:tcPr>
            <w:tcW w:type="dxa" w:w="4440"/>
          </w:tcPr>
          <w:p>
            <w:pPr>
              <w:spacing w:after="0" w:line="264" w:lineRule="auto"/>
            </w:pPr>
            <w:r>
              <w:rPr>
                <w:rFonts w:ascii="Times New Roman" w:hAnsi="Times New Roman"/>
                <w:b w:val="0"/>
                <w:color w:val="000000"/>
                <w:sz w:val="16"/>
              </w:rPr>
              <w:t>Scopes every account, transfer, policy, audit, event, and query to one customer workspace.</w:t>
            </w:r>
          </w:p>
        </w:tc>
        <w:tc>
          <w:tcPr>
            <w:tcW w:type="dxa" w:w="2520"/>
          </w:tcPr>
          <w:p>
            <w:pPr>
              <w:spacing w:after="0" w:line="264" w:lineRule="auto"/>
            </w:pPr>
            <w:r>
              <w:rPr>
                <w:rFonts w:ascii="Times New Roman" w:hAnsi="Times New Roman"/>
                <w:b w:val="0"/>
                <w:color w:val="000000"/>
                <w:sz w:val="16"/>
              </w:rPr>
              <w:t>Blocks cross-customer workspace access when enforced from verified identity through database predicates.</w:t>
            </w:r>
          </w:p>
        </w:tc>
      </w:tr>
      <w:tr>
        <w:tc>
          <w:tcPr>
            <w:tcW w:type="dxa" w:w="2400"/>
          </w:tcPr>
          <w:p>
            <w:pPr>
              <w:spacing w:after="0" w:line="264" w:lineRule="auto"/>
            </w:pPr>
            <w:r>
              <w:rPr>
                <w:rFonts w:ascii="Times New Roman" w:hAnsi="Times New Roman"/>
                <w:b/>
                <w:color w:val="000000"/>
                <w:sz w:val="16"/>
              </w:rPr>
              <w:t>Subject ID</w:t>
            </w:r>
          </w:p>
        </w:tc>
        <w:tc>
          <w:tcPr>
            <w:tcW w:type="dxa" w:w="4440"/>
          </w:tcPr>
          <w:p>
            <w:pPr>
              <w:spacing w:after="0" w:line="264" w:lineRule="auto"/>
            </w:pPr>
            <w:r>
              <w:rPr>
                <w:rFonts w:ascii="Times New Roman" w:hAnsi="Times New Roman"/>
                <w:b w:val="0"/>
                <w:color w:val="000000"/>
                <w:sz w:val="16"/>
              </w:rPr>
              <w:t>Identifies the authenticated operator or workload principal.</w:t>
            </w:r>
          </w:p>
        </w:tc>
        <w:tc>
          <w:tcPr>
            <w:tcW w:type="dxa" w:w="2520"/>
          </w:tcPr>
          <w:p>
            <w:pPr>
              <w:spacing w:after="0" w:line="264" w:lineRule="auto"/>
            </w:pPr>
            <w:r>
              <w:rPr>
                <w:rFonts w:ascii="Times New Roman" w:hAnsi="Times New Roman"/>
                <w:b w:val="0"/>
                <w:color w:val="000000"/>
                <w:sz w:val="16"/>
              </w:rPr>
              <w:t>Links authorization, rate policy, audit, and idempotency ownership.</w:t>
            </w:r>
          </w:p>
        </w:tc>
      </w:tr>
      <w:tr>
        <w:tc>
          <w:tcPr>
            <w:tcW w:type="dxa" w:w="2400"/>
          </w:tcPr>
          <w:p>
            <w:pPr>
              <w:spacing w:after="0" w:line="264" w:lineRule="auto"/>
            </w:pPr>
            <w:r>
              <w:rPr>
                <w:rFonts w:ascii="Times New Roman" w:hAnsi="Times New Roman"/>
                <w:b/>
                <w:color w:val="000000"/>
                <w:sz w:val="16"/>
              </w:rPr>
              <w:t>Account ID</w:t>
            </w:r>
          </w:p>
        </w:tc>
        <w:tc>
          <w:tcPr>
            <w:tcW w:type="dxa" w:w="4440"/>
          </w:tcPr>
          <w:p>
            <w:pPr>
              <w:spacing w:after="0" w:line="264" w:lineRule="auto"/>
            </w:pPr>
            <w:r>
              <w:rPr>
                <w:rFonts w:ascii="Times New Roman" w:hAnsi="Times New Roman"/>
                <w:b w:val="0"/>
                <w:color w:val="000000"/>
                <w:sz w:val="16"/>
              </w:rPr>
              <w:t>Identifies a ledger account inside its customer workspace.</w:t>
            </w:r>
          </w:p>
        </w:tc>
        <w:tc>
          <w:tcPr>
            <w:tcW w:type="dxa" w:w="2520"/>
          </w:tcPr>
          <w:p>
            <w:pPr>
              <w:spacing w:after="0" w:line="264" w:lineRule="auto"/>
            </w:pPr>
            <w:r>
              <w:rPr>
                <w:rFonts w:ascii="Times New Roman" w:hAnsi="Times New Roman"/>
                <w:b w:val="0"/>
                <w:color w:val="000000"/>
                <w:sz w:val="16"/>
              </w:rPr>
              <w:t>Enables object-level authorization and transaction history.</w:t>
            </w:r>
          </w:p>
        </w:tc>
      </w:tr>
      <w:tr>
        <w:tc>
          <w:tcPr>
            <w:tcW w:type="dxa" w:w="2400"/>
          </w:tcPr>
          <w:p>
            <w:pPr>
              <w:spacing w:after="0" w:line="264" w:lineRule="auto"/>
            </w:pPr>
            <w:r>
              <w:rPr>
                <w:rFonts w:ascii="Times New Roman" w:hAnsi="Times New Roman"/>
                <w:b/>
                <w:color w:val="000000"/>
                <w:sz w:val="16"/>
              </w:rPr>
              <w:t>Transfer / journal / posting ID</w:t>
            </w:r>
          </w:p>
        </w:tc>
        <w:tc>
          <w:tcPr>
            <w:tcW w:type="dxa" w:w="4440"/>
          </w:tcPr>
          <w:p>
            <w:pPr>
              <w:spacing w:after="0" w:line="264" w:lineRule="auto"/>
            </w:pPr>
            <w:r>
              <w:rPr>
                <w:rFonts w:ascii="Times New Roman" w:hAnsi="Times New Roman"/>
                <w:b w:val="0"/>
                <w:color w:val="000000"/>
                <w:sz w:val="16"/>
              </w:rPr>
              <w:t>Identifies financial command and cannot be changed later evidence.</w:t>
            </w:r>
          </w:p>
        </w:tc>
        <w:tc>
          <w:tcPr>
            <w:tcW w:type="dxa" w:w="2520"/>
          </w:tcPr>
          <w:p>
            <w:pPr>
              <w:spacing w:after="0" w:line="264" w:lineRule="auto"/>
            </w:pPr>
            <w:r>
              <w:rPr>
                <w:rFonts w:ascii="Times New Roman" w:hAnsi="Times New Roman"/>
                <w:b w:val="0"/>
                <w:color w:val="000000"/>
                <w:sz w:val="16"/>
              </w:rPr>
              <w:t>Lets operators trace one movement through the accounting record.</w:t>
            </w:r>
          </w:p>
        </w:tc>
      </w:tr>
      <w:tr>
        <w:tc>
          <w:tcPr>
            <w:tcW w:type="dxa" w:w="2400"/>
          </w:tcPr>
          <w:p>
            <w:pPr>
              <w:spacing w:after="0" w:line="264" w:lineRule="auto"/>
            </w:pPr>
            <w:r>
              <w:rPr>
                <w:rFonts w:ascii="Times New Roman" w:hAnsi="Times New Roman"/>
                <w:b/>
                <w:color w:val="000000"/>
                <w:sz w:val="16"/>
              </w:rPr>
              <w:t>Idempotency key</w:t>
            </w:r>
          </w:p>
        </w:tc>
        <w:tc>
          <w:tcPr>
            <w:tcW w:type="dxa" w:w="4440"/>
          </w:tcPr>
          <w:p>
            <w:pPr>
              <w:spacing w:after="0" w:line="264" w:lineRule="auto"/>
            </w:pPr>
            <w:r>
              <w:rPr>
                <w:rFonts w:ascii="Times New Roman" w:hAnsi="Times New Roman"/>
                <w:b w:val="0"/>
                <w:color w:val="000000"/>
                <w:sz w:val="16"/>
              </w:rPr>
              <w:t>Identifies one intended mutation across retries.</w:t>
            </w:r>
          </w:p>
        </w:tc>
        <w:tc>
          <w:tcPr>
            <w:tcW w:type="dxa" w:w="2520"/>
          </w:tcPr>
          <w:p>
            <w:pPr>
              <w:spacing w:after="0" w:line="264" w:lineRule="auto"/>
            </w:pPr>
            <w:r>
              <w:rPr>
                <w:rFonts w:ascii="Times New Roman" w:hAnsi="Times New Roman"/>
                <w:b w:val="0"/>
                <w:color w:val="000000"/>
                <w:sz w:val="16"/>
              </w:rPr>
              <w:t>Prevents accidental duplicate commands.</w:t>
            </w:r>
          </w:p>
        </w:tc>
      </w:tr>
      <w:tr>
        <w:tc>
          <w:tcPr>
            <w:tcW w:type="dxa" w:w="2400"/>
          </w:tcPr>
          <w:p>
            <w:pPr>
              <w:spacing w:after="0" w:line="264" w:lineRule="auto"/>
            </w:pPr>
            <w:r>
              <w:rPr>
                <w:rFonts w:ascii="Times New Roman" w:hAnsi="Times New Roman"/>
                <w:b/>
                <w:color w:val="000000"/>
                <w:sz w:val="16"/>
              </w:rPr>
              <w:t>Correlation ID</w:t>
            </w:r>
          </w:p>
        </w:tc>
        <w:tc>
          <w:tcPr>
            <w:tcW w:type="dxa" w:w="4440"/>
          </w:tcPr>
          <w:p>
            <w:pPr>
              <w:spacing w:after="0" w:line="264" w:lineRule="auto"/>
            </w:pPr>
            <w:r>
              <w:rPr>
                <w:rFonts w:ascii="Times New Roman" w:hAnsi="Times New Roman"/>
                <w:b w:val="0"/>
                <w:color w:val="000000"/>
                <w:sz w:val="16"/>
              </w:rPr>
              <w:t>Connects logs, API responses, audit, outbox, delivery, and support evidence.</w:t>
            </w:r>
          </w:p>
        </w:tc>
        <w:tc>
          <w:tcPr>
            <w:tcW w:type="dxa" w:w="2520"/>
          </w:tcPr>
          <w:p>
            <w:pPr>
              <w:spacing w:after="0" w:line="264" w:lineRule="auto"/>
            </w:pPr>
            <w:r>
              <w:rPr>
                <w:rFonts w:ascii="Times New Roman" w:hAnsi="Times New Roman"/>
                <w:b w:val="0"/>
                <w:color w:val="000000"/>
                <w:sz w:val="16"/>
              </w:rPr>
              <w:t>Makes distributed investigation possible without sharing secrets.</w:t>
            </w:r>
          </w:p>
        </w:tc>
      </w:tr>
      <w:tr>
        <w:tc>
          <w:tcPr>
            <w:tcW w:type="dxa" w:w="2400"/>
          </w:tcPr>
          <w:p>
            <w:pPr>
              <w:spacing w:after="0" w:line="264" w:lineRule="auto"/>
            </w:pPr>
            <w:r>
              <w:rPr>
                <w:rFonts w:ascii="Times New Roman" w:hAnsi="Times New Roman"/>
                <w:b/>
                <w:color w:val="000000"/>
                <w:sz w:val="16"/>
              </w:rPr>
              <w:t>OIDC issuer/audience/client ID</w:t>
            </w:r>
          </w:p>
        </w:tc>
        <w:tc>
          <w:tcPr>
            <w:tcW w:type="dxa" w:w="4440"/>
          </w:tcPr>
          <w:p>
            <w:pPr>
              <w:spacing w:after="0" w:line="264" w:lineRule="auto"/>
            </w:pPr>
            <w:r>
              <w:rPr>
                <w:rFonts w:ascii="Times New Roman" w:hAnsi="Times New Roman"/>
                <w:b w:val="0"/>
                <w:color w:val="000000"/>
                <w:sz w:val="16"/>
              </w:rPr>
              <w:t>Identifies the identity authority and intended workload/resource.</w:t>
            </w:r>
          </w:p>
        </w:tc>
        <w:tc>
          <w:tcPr>
            <w:tcW w:type="dxa" w:w="2520"/>
          </w:tcPr>
          <w:p>
            <w:pPr>
              <w:spacing w:after="0" w:line="264" w:lineRule="auto"/>
            </w:pPr>
            <w:r>
              <w:rPr>
                <w:rFonts w:ascii="Times New Roman" w:hAnsi="Times New Roman"/>
                <w:b w:val="0"/>
                <w:color w:val="000000"/>
                <w:sz w:val="16"/>
              </w:rPr>
              <w:t>Rejects token substitution and wrong-client access.</w:t>
            </w:r>
          </w:p>
        </w:tc>
      </w:tr>
    </w:tbl>
    <w:p>
      <w:pPr>
        <w:spacing w:before="0" w:after="80" w:line="276" w:lineRule="auto"/>
      </w:pPr>
      <w:r>
        <w:rPr>
          <w:rFonts w:ascii="Times New Roman" w:hAnsi="Times New Roman"/>
          <w:b w:val="0"/>
          <w:i w:val="0"/>
          <w:color w:val="000000"/>
          <w:sz w:val="4"/>
        </w:rPr>
      </w:r>
    </w:p>
    <w:p>
      <w:pPr>
        <w:pStyle w:val="Heading2"/>
        <w:keepNext/>
      </w:pPr>
      <w:r>
        <w:rPr>
          <w:rFonts w:ascii="Times New Roman" w:hAnsi="Times New Roman"/>
          <w:b/>
          <w:color w:val="000000"/>
          <w:sz w:val="28"/>
        </w:rPr>
        <w:t>2.8 Fault tolerance</w:t>
      </w:r>
    </w:p>
    <w:tbl>
      <w:tblPr>
        <w:tblStyle w:val="TableGrid"/>
        <w:tblW w:type="dxa" w:w="9360"/>
        <w:jc w:val="left"/>
        <w:tblLayout w:type="fixed"/>
        <w:tblLook w:firstColumn="1" w:firstRow="1" w:lastColumn="0" w:lastRow="0" w:noHBand="0" w:noVBand="1" w:val="04A0"/>
        <w:tblInd w:w="120" w:type="dxa"/>
      </w:tblPr>
      <w:tblGrid>
        <w:gridCol w:w="1800"/>
        <w:gridCol w:w="4900"/>
        <w:gridCol w:w="2660"/>
      </w:tblGrid>
      <w:tr>
        <w:trPr>
          <w:tblHeader w:val="true"/>
        </w:trPr>
        <w:tc>
          <w:tcPr>
            <w:tcW w:type="dxa" w:w="1800"/>
            <w:tcMar>
              <w:top w:w="80" w:type="dxa"/>
              <w:start w:w="120" w:type="dxa"/>
              <w:bottom w:w="80" w:type="dxa"/>
              <w:end w:w="120" w:type="dxa"/>
            </w:tcMar>
            <w:vAlign w:val="center"/>
          </w:tcPr>
          <w:p>
            <w:pPr>
              <w:spacing w:after="0"/>
            </w:pPr>
            <w:r>
              <w:rPr>
                <w:rFonts w:ascii="Times New Roman" w:hAnsi="Times New Roman"/>
                <w:b/>
                <w:color w:val="000000"/>
                <w:sz w:val="17"/>
              </w:rPr>
              <w:t>Failure</w:t>
            </w:r>
          </w:p>
        </w:tc>
        <w:tc>
          <w:tcPr>
            <w:tcW w:type="dxa" w:w="4900"/>
            <w:tcMar>
              <w:top w:w="80" w:type="dxa"/>
              <w:start w:w="120" w:type="dxa"/>
              <w:bottom w:w="80" w:type="dxa"/>
              <w:end w:w="120" w:type="dxa"/>
            </w:tcMar>
            <w:vAlign w:val="center"/>
          </w:tcPr>
          <w:p>
            <w:pPr>
              <w:spacing w:after="0"/>
            </w:pPr>
            <w:r>
              <w:rPr>
                <w:rFonts w:ascii="Times New Roman" w:hAnsi="Times New Roman"/>
                <w:b/>
                <w:color w:val="000000"/>
                <w:sz w:val="17"/>
              </w:rPr>
              <w:t>Safe communication behavior</w:t>
            </w:r>
          </w:p>
        </w:tc>
        <w:tc>
          <w:tcPr>
            <w:tcW w:type="dxa" w:w="2660"/>
            <w:tcMar>
              <w:top w:w="80" w:type="dxa"/>
              <w:start w:w="120" w:type="dxa"/>
              <w:bottom w:w="80" w:type="dxa"/>
              <w:end w:w="120" w:type="dxa"/>
            </w:tcMar>
            <w:vAlign w:val="center"/>
          </w:tcPr>
          <w:p>
            <w:pPr>
              <w:spacing w:after="0"/>
            </w:pPr>
            <w:r>
              <w:rPr>
                <w:rFonts w:ascii="Times New Roman" w:hAnsi="Times New Roman"/>
                <w:b/>
                <w:color w:val="000000"/>
                <w:sz w:val="17"/>
              </w:rPr>
              <w:t>Operator meaning</w:t>
            </w:r>
          </w:p>
        </w:tc>
      </w:tr>
      <w:tr>
        <w:tc>
          <w:tcPr>
            <w:tcW w:type="dxa" w:w="1800"/>
          </w:tcPr>
          <w:p>
            <w:pPr>
              <w:spacing w:after="0" w:line="264" w:lineRule="auto"/>
            </w:pPr>
            <w:r>
              <w:rPr>
                <w:rFonts w:ascii="Times New Roman" w:hAnsi="Times New Roman"/>
                <w:b/>
                <w:color w:val="000000"/>
                <w:sz w:val="16"/>
              </w:rPr>
              <w:t>Browser loses response</w:t>
            </w:r>
          </w:p>
        </w:tc>
        <w:tc>
          <w:tcPr>
            <w:tcW w:type="dxa" w:w="4900"/>
          </w:tcPr>
          <w:p>
            <w:pPr>
              <w:spacing w:after="0" w:line="264" w:lineRule="auto"/>
            </w:pPr>
            <w:r>
              <w:rPr>
                <w:rFonts w:ascii="Times New Roman" w:hAnsi="Times New Roman"/>
                <w:b w:val="0"/>
                <w:color w:val="000000"/>
                <w:sz w:val="16"/>
              </w:rPr>
              <w:t>Preserve intent and retry exact request with same idempotency key.</w:t>
            </w:r>
          </w:p>
        </w:tc>
        <w:tc>
          <w:tcPr>
            <w:tcW w:type="dxa" w:w="2660"/>
          </w:tcPr>
          <w:p>
            <w:pPr>
              <w:spacing w:after="0" w:line="264" w:lineRule="auto"/>
            </w:pPr>
            <w:r>
              <w:rPr>
                <w:rFonts w:ascii="Times New Roman" w:hAnsi="Times New Roman"/>
                <w:b w:val="0"/>
                <w:color w:val="000000"/>
                <w:sz w:val="16"/>
              </w:rPr>
              <w:t>Do not create a new transfer.</w:t>
            </w:r>
          </w:p>
        </w:tc>
      </w:tr>
      <w:tr>
        <w:tc>
          <w:tcPr>
            <w:tcW w:type="dxa" w:w="1800"/>
          </w:tcPr>
          <w:p>
            <w:pPr>
              <w:spacing w:after="0" w:line="264" w:lineRule="auto"/>
            </w:pPr>
            <w:r>
              <w:rPr>
                <w:rFonts w:ascii="Times New Roman" w:hAnsi="Times New Roman"/>
                <w:b/>
                <w:color w:val="000000"/>
                <w:sz w:val="16"/>
              </w:rPr>
              <w:t>Database transaction fails</w:t>
            </w:r>
          </w:p>
        </w:tc>
        <w:tc>
          <w:tcPr>
            <w:tcW w:type="dxa" w:w="4900"/>
          </w:tcPr>
          <w:p>
            <w:pPr>
              <w:spacing w:after="0" w:line="264" w:lineRule="auto"/>
            </w:pPr>
            <w:r>
              <w:rPr>
                <w:rFonts w:ascii="Times New Roman" w:hAnsi="Times New Roman"/>
                <w:b w:val="0"/>
                <w:color w:val="000000"/>
                <w:sz w:val="16"/>
              </w:rPr>
              <w:t>Rollback prevents partial journal/audit/outbox state.</w:t>
            </w:r>
          </w:p>
        </w:tc>
        <w:tc>
          <w:tcPr>
            <w:tcW w:type="dxa" w:w="2660"/>
          </w:tcPr>
          <w:p>
            <w:pPr>
              <w:spacing w:after="0" w:line="264" w:lineRule="auto"/>
            </w:pPr>
            <w:r>
              <w:rPr>
                <w:rFonts w:ascii="Times New Roman" w:hAnsi="Times New Roman"/>
                <w:b w:val="0"/>
                <w:color w:val="000000"/>
                <w:sz w:val="16"/>
              </w:rPr>
              <w:t>No completed transfer should exist.</w:t>
            </w:r>
          </w:p>
        </w:tc>
      </w:tr>
      <w:tr>
        <w:tc>
          <w:tcPr>
            <w:tcW w:type="dxa" w:w="1800"/>
          </w:tcPr>
          <w:p>
            <w:pPr>
              <w:spacing w:after="0" w:line="264" w:lineRule="auto"/>
            </w:pPr>
            <w:r>
              <w:rPr>
                <w:rFonts w:ascii="Times New Roman" w:hAnsi="Times New Roman"/>
                <w:b/>
                <w:color w:val="000000"/>
                <w:sz w:val="16"/>
              </w:rPr>
              <w:t>Redis unavailable</w:t>
            </w:r>
          </w:p>
        </w:tc>
        <w:tc>
          <w:tcPr>
            <w:tcW w:type="dxa" w:w="4900"/>
          </w:tcPr>
          <w:p>
            <w:pPr>
              <w:spacing w:after="0" w:line="264" w:lineRule="auto"/>
            </w:pPr>
            <w:r>
              <w:rPr>
                <w:rFonts w:ascii="Times New Roman" w:hAnsi="Times New Roman"/>
                <w:b w:val="0"/>
                <w:color w:val="000000"/>
                <w:sz w:val="16"/>
              </w:rPr>
              <w:t>Use PostgreSQL fallback when freshness can be proven; otherwise report unavailable.</w:t>
            </w:r>
          </w:p>
        </w:tc>
        <w:tc>
          <w:tcPr>
            <w:tcW w:type="dxa" w:w="2660"/>
          </w:tcPr>
          <w:p>
            <w:pPr>
              <w:spacing w:after="0" w:line="264" w:lineRule="auto"/>
            </w:pPr>
            <w:r>
              <w:rPr>
                <w:rFonts w:ascii="Times New Roman" w:hAnsi="Times New Roman"/>
                <w:b w:val="0"/>
                <w:color w:val="000000"/>
                <w:sz w:val="16"/>
              </w:rPr>
              <w:t>Cache loss is not money loss.</w:t>
            </w:r>
          </w:p>
        </w:tc>
      </w:tr>
      <w:tr>
        <w:tc>
          <w:tcPr>
            <w:tcW w:type="dxa" w:w="1800"/>
          </w:tcPr>
          <w:p>
            <w:pPr>
              <w:spacing w:after="0" w:line="264" w:lineRule="auto"/>
            </w:pPr>
            <w:r>
              <w:rPr>
                <w:rFonts w:ascii="Times New Roman" w:hAnsi="Times New Roman"/>
                <w:b/>
                <w:color w:val="000000"/>
                <w:sz w:val="16"/>
              </w:rPr>
              <w:t>Worker stops</w:t>
            </w:r>
          </w:p>
        </w:tc>
        <w:tc>
          <w:tcPr>
            <w:tcW w:type="dxa" w:w="4900"/>
          </w:tcPr>
          <w:p>
            <w:pPr>
              <w:spacing w:after="0" w:line="264" w:lineRule="auto"/>
            </w:pPr>
            <w:r>
              <w:rPr>
                <w:rFonts w:ascii="Times New Roman" w:hAnsi="Times New Roman"/>
                <w:b w:val="0"/>
                <w:color w:val="000000"/>
                <w:sz w:val="16"/>
              </w:rPr>
              <w:t>Outbox lease expires and another worker/restart can pick up again safely work.</w:t>
            </w:r>
          </w:p>
        </w:tc>
        <w:tc>
          <w:tcPr>
            <w:tcW w:type="dxa" w:w="2660"/>
          </w:tcPr>
          <w:p>
            <w:pPr>
              <w:spacing w:after="0" w:line="264" w:lineRule="auto"/>
            </w:pPr>
            <w:r>
              <w:rPr>
                <w:rFonts w:ascii="Times New Roman" w:hAnsi="Times New Roman"/>
                <w:b w:val="0"/>
                <w:color w:val="000000"/>
                <w:sz w:val="16"/>
              </w:rPr>
              <w:t>Delivery may delay, but posting remains committed.</w:t>
            </w:r>
          </w:p>
        </w:tc>
      </w:tr>
      <w:tr>
        <w:tc>
          <w:tcPr>
            <w:tcW w:type="dxa" w:w="1800"/>
          </w:tcPr>
          <w:p>
            <w:pPr>
              <w:spacing w:after="0" w:line="264" w:lineRule="auto"/>
            </w:pPr>
            <w:r>
              <w:rPr>
                <w:rFonts w:ascii="Times New Roman" w:hAnsi="Times New Roman"/>
                <w:b/>
                <w:color w:val="000000"/>
                <w:sz w:val="16"/>
              </w:rPr>
              <w:t>OIDC/session invalid</w:t>
            </w:r>
          </w:p>
        </w:tc>
        <w:tc>
          <w:tcPr>
            <w:tcW w:type="dxa" w:w="4900"/>
          </w:tcPr>
          <w:p>
            <w:pPr>
              <w:spacing w:after="0" w:line="264" w:lineRule="auto"/>
            </w:pPr>
            <w:r>
              <w:rPr>
                <w:rFonts w:ascii="Times New Roman" w:hAnsi="Times New Roman"/>
                <w:b w:val="0"/>
                <w:color w:val="000000"/>
                <w:sz w:val="16"/>
              </w:rPr>
              <w:t>Deny request and reveal no protected data.</w:t>
            </w:r>
          </w:p>
        </w:tc>
        <w:tc>
          <w:tcPr>
            <w:tcW w:type="dxa" w:w="2660"/>
          </w:tcPr>
          <w:p>
            <w:pPr>
              <w:spacing w:after="0" w:line="264" w:lineRule="auto"/>
            </w:pPr>
            <w:r>
              <w:rPr>
                <w:rFonts w:ascii="Times New Roman" w:hAnsi="Times New Roman"/>
                <w:b w:val="0"/>
                <w:color w:val="000000"/>
                <w:sz w:val="16"/>
              </w:rPr>
              <w:t>User must reauthenticate through approved flow.</w:t>
            </w:r>
          </w:p>
        </w:tc>
      </w:tr>
      <w:tr>
        <w:tc>
          <w:tcPr>
            <w:tcW w:type="dxa" w:w="1800"/>
          </w:tcPr>
          <w:p>
            <w:pPr>
              <w:spacing w:after="0" w:line="264" w:lineRule="auto"/>
            </w:pPr>
            <w:r>
              <w:rPr>
                <w:rFonts w:ascii="Times New Roman" w:hAnsi="Times New Roman"/>
                <w:b/>
                <w:color w:val="000000"/>
                <w:sz w:val="16"/>
              </w:rPr>
              <w:t>Webhook endpoint fails</w:t>
            </w:r>
          </w:p>
        </w:tc>
        <w:tc>
          <w:tcPr>
            <w:tcW w:type="dxa" w:w="4900"/>
          </w:tcPr>
          <w:p>
            <w:pPr>
              <w:spacing w:after="0" w:line="264" w:lineRule="auto"/>
            </w:pPr>
            <w:r>
              <w:rPr>
                <w:rFonts w:ascii="Times New Roman" w:hAnsi="Times New Roman"/>
                <w:b w:val="0"/>
                <w:color w:val="000000"/>
                <w:sz w:val="16"/>
              </w:rPr>
              <w:t>Record attempt and retry/backoff; surface dead delivery for replay.</w:t>
            </w:r>
          </w:p>
        </w:tc>
        <w:tc>
          <w:tcPr>
            <w:tcW w:type="dxa" w:w="2660"/>
          </w:tcPr>
          <w:p>
            <w:pPr>
              <w:spacing w:after="0" w:line="264" w:lineRule="auto"/>
            </w:pPr>
            <w:r>
              <w:rPr>
                <w:rFonts w:ascii="Times New Roman" w:hAnsi="Times New Roman"/>
                <w:b w:val="0"/>
                <w:color w:val="000000"/>
                <w:sz w:val="16"/>
              </w:rPr>
              <w:t>Partner notification is recoverable without reposting money.</w:t>
            </w:r>
          </w:p>
        </w:tc>
      </w:tr>
    </w:tbl>
    <w:p>
      <w:pPr>
        <w:spacing w:before="0" w:after="80" w:line="276" w:lineRule="auto"/>
      </w:pPr>
      <w:r>
        <w:rPr>
          <w:rFonts w:ascii="Times New Roman" w:hAnsi="Times New Roman"/>
          <w:b w:val="0"/>
          <w:i w:val="0"/>
          <w:color w:val="000000"/>
          <w:sz w:val="4"/>
        </w:rPr>
      </w:r>
    </w:p>
    <w:p>
      <w:pPr>
        <w:pStyle w:val="Heading2"/>
        <w:keepNext/>
      </w:pPr>
      <w:r>
        <w:rPr>
          <w:rFonts w:ascii="Times New Roman" w:hAnsi="Times New Roman"/>
          <w:b/>
          <w:color w:val="000000"/>
          <w:sz w:val="28"/>
        </w:rPr>
        <w:t>2.9 Stream, P2P, and WebRTC topics</w:t>
      </w:r>
    </w:p>
    <w:p>
      <w:pPr>
        <w:pStyle w:val="Heading3"/>
        <w:keepNext/>
      </w:pPr>
      <w:r>
        <w:rPr>
          <w:rFonts w:ascii="Times New Roman" w:hAnsi="Times New Roman"/>
          <w:b/>
          <w:color w:val="000000"/>
          <w:sz w:val="24"/>
        </w:rPr>
        <w:t>Stream-oriented communication</w:t>
      </w:r>
    </w:p>
    <w:p>
      <w:pPr>
        <w:spacing w:before="0" w:after="120" w:line="276" w:lineRule="auto"/>
      </w:pPr>
      <w:r>
        <w:rPr>
          <w:rFonts w:ascii="Times New Roman" w:hAnsi="Times New Roman"/>
          <w:b w:val="0"/>
          <w:i w:val="0"/>
          <w:color w:val="000000"/>
          <w:sz w:val="22"/>
        </w:rPr>
        <w:t>LedgerSync does not need long-lived audio/video streams for its core ledger path. It deliberately uses bounded API responses, safely saved events, explicit refresh, and evidence views. This reduces ambiguity around ordering, replay, and authorization for financial commands.</w:t>
      </w:r>
    </w:p>
    <w:p>
      <w:pPr>
        <w:pStyle w:val="Heading3"/>
        <w:keepNext/>
      </w:pPr>
      <w:r>
        <w:rPr>
          <w:rFonts w:ascii="Times New Roman" w:hAnsi="Times New Roman"/>
          <w:b/>
          <w:color w:val="000000"/>
          <w:sz w:val="24"/>
        </w:rPr>
        <w:t>Peer-to-peer messaging</w:t>
      </w:r>
    </w:p>
    <w:p>
      <w:pPr>
        <w:spacing w:before="0" w:after="120" w:line="276" w:lineRule="auto"/>
      </w:pPr>
      <w:r>
        <w:rPr>
          <w:rFonts w:ascii="Times New Roman" w:hAnsi="Times New Roman"/>
          <w:b w:val="0"/>
          <w:i w:val="0"/>
          <w:color w:val="000000"/>
          <w:sz w:val="22"/>
        </w:rPr>
        <w:t>LedgerSync does not send transfer commands directly between browsers or customer devices. A central private API and PostgreSQL authority are required to validate permissions, preserve idempotency, create balanced postings, and maintain audit evidence.</w:t>
      </w:r>
    </w:p>
    <w:p>
      <w:pPr>
        <w:pStyle w:val="Heading3"/>
        <w:keepNext/>
      </w:pPr>
      <w:r>
        <w:rPr>
          <w:rFonts w:ascii="Times New Roman" w:hAnsi="Times New Roman"/>
          <w:b/>
          <w:color w:val="000000"/>
          <w:sz w:val="24"/>
        </w:rPr>
        <w:t>WebRTC</w:t>
      </w:r>
    </w:p>
    <w:p>
      <w:pPr>
        <w:spacing w:before="0" w:after="120" w:line="276" w:lineRule="auto"/>
      </w:pPr>
      <w:r>
        <w:rPr>
          <w:rFonts w:ascii="Times New Roman" w:hAnsi="Times New Roman"/>
          <w:b w:val="0"/>
          <w:i w:val="0"/>
          <w:color w:val="000000"/>
          <w:sz w:val="22"/>
        </w:rPr>
        <w:t>WebRTC is not used. It is suited to browser-to-browser real-time audio, video, and data channels; LedgerSync's financial commands require safely saved, centrally authorized request and transaction processing instead.</w:t>
      </w:r>
    </w:p>
    <w:p>
      <w:pPr>
        <w:pStyle w:val="Heading1"/>
        <w:keepNext/>
      </w:pPr>
      <w:r>
        <w:rPr>
          <w:rFonts w:ascii="Times New Roman" w:hAnsi="Times New Roman"/>
          <w:b/>
          <w:color w:val="000000"/>
          <w:sz w:val="32"/>
        </w:rPr>
        <w:t>2.10 Top 30 Unit II viva questions</w:t>
      </w:r>
    </w:p>
    <w:p>
      <w:pPr>
        <w:spacing w:before="140" w:after="40" w:line="278" w:lineRule="auto"/>
      </w:pPr>
      <w:r>
        <w:rPr>
          <w:rFonts w:ascii="Times New Roman" w:hAnsi="Times New Roman"/>
          <w:b/>
          <w:color w:val="000000"/>
          <w:sz w:val="21"/>
        </w:rPr>
        <w:t>1. What communication style does LedgerSync use for its main API?</w:t>
      </w:r>
    </w:p>
    <w:p>
      <w:pPr>
        <w:spacing w:after="80" w:line="288" w:lineRule="auto"/>
      </w:pPr>
      <w:r>
        <w:rPr>
          <w:rFonts w:ascii="Times New Roman" w:hAnsi="Times New Roman"/>
          <w:color w:val="000000"/>
          <w:sz w:val="20"/>
        </w:rPr>
        <w:t>LedgerSync uses HTTPS request-response communication with REST-style routes. The browser reaches same-origin BFF routes, and the BFF communicates with the private Go API.</w:t>
      </w:r>
    </w:p>
    <w:p>
      <w:pPr>
        <w:spacing w:before="140" w:after="40" w:line="278" w:lineRule="auto"/>
      </w:pPr>
      <w:r>
        <w:rPr>
          <w:rFonts w:ascii="Times New Roman" w:hAnsi="Times New Roman"/>
          <w:b/>
          <w:color w:val="000000"/>
          <w:sz w:val="21"/>
        </w:rPr>
        <w:t>2. What is RPC?</w:t>
      </w:r>
    </w:p>
    <w:p>
      <w:pPr>
        <w:spacing w:after="80" w:line="288" w:lineRule="auto"/>
      </w:pPr>
      <w:r>
        <w:rPr>
          <w:rFonts w:ascii="Times New Roman" w:hAnsi="Times New Roman"/>
          <w:color w:val="000000"/>
          <w:sz w:val="20"/>
        </w:rPr>
        <w:t>Remote Procedure Call is a model where a client invokes a server-side operation across a network. LedgerSync uses REST-style HTTP commands that behave like RPC for operations such as creating a transfer.</w:t>
      </w:r>
    </w:p>
    <w:p>
      <w:pPr>
        <w:spacing w:before="140" w:after="40" w:line="278" w:lineRule="auto"/>
      </w:pPr>
      <w:r>
        <w:rPr>
          <w:rFonts w:ascii="Times New Roman" w:hAnsi="Times New Roman"/>
          <w:b/>
          <w:color w:val="000000"/>
          <w:sz w:val="21"/>
        </w:rPr>
        <w:t>3. Why is a remote money-transfer call difficult?</w:t>
      </w:r>
    </w:p>
    <w:p>
      <w:pPr>
        <w:spacing w:after="80" w:line="288" w:lineRule="auto"/>
      </w:pPr>
      <w:r>
        <w:rPr>
          <w:rFonts w:ascii="Times New Roman" w:hAnsi="Times New Roman"/>
          <w:color w:val="000000"/>
          <w:sz w:val="20"/>
        </w:rPr>
        <w:t>The request can time out after the server commits. The client cannot assume failure or blindly send a new request because that could move money twice.</w:t>
      </w:r>
    </w:p>
    <w:p>
      <w:pPr>
        <w:spacing w:before="140" w:after="40" w:line="278" w:lineRule="auto"/>
      </w:pPr>
      <w:r>
        <w:rPr>
          <w:rFonts w:ascii="Times New Roman" w:hAnsi="Times New Roman"/>
          <w:b/>
          <w:color w:val="000000"/>
          <w:sz w:val="21"/>
        </w:rPr>
        <w:t>4. How does LedgerSync make RPC safe to retry?</w:t>
      </w:r>
    </w:p>
    <w:p>
      <w:pPr>
        <w:spacing w:after="80" w:line="288" w:lineRule="auto"/>
      </w:pPr>
      <w:r>
        <w:rPr>
          <w:rFonts w:ascii="Times New Roman" w:hAnsi="Times New Roman"/>
          <w:color w:val="000000"/>
          <w:sz w:val="20"/>
        </w:rPr>
        <w:t>Each mutation uses an idempotency key and a request fingerprint. Retrying the identical intent returns the stored outcome; using the same key for different content returns an idempotency conflict.</w:t>
      </w:r>
    </w:p>
    <w:p>
      <w:pPr>
        <w:spacing w:before="140" w:after="40" w:line="278" w:lineRule="auto"/>
      </w:pPr>
      <w:r>
        <w:rPr>
          <w:rFonts w:ascii="Times New Roman" w:hAnsi="Times New Roman"/>
          <w:b/>
          <w:color w:val="000000"/>
          <w:sz w:val="21"/>
        </w:rPr>
        <w:t>5. What HTTP method creates a transfer?</w:t>
      </w:r>
    </w:p>
    <w:p>
      <w:pPr>
        <w:spacing w:after="80" w:line="288" w:lineRule="auto"/>
      </w:pPr>
      <w:r>
        <w:rPr>
          <w:rFonts w:ascii="Times New Roman" w:hAnsi="Times New Roman"/>
          <w:color w:val="000000"/>
          <w:sz w:val="20"/>
        </w:rPr>
        <w:t>The browser-facing BFF uses POST for a new transfer request, with CSRF protection and an Idempotency-Key header.</w:t>
      </w:r>
    </w:p>
    <w:p>
      <w:pPr>
        <w:spacing w:before="140" w:after="40" w:line="278" w:lineRule="auto"/>
      </w:pPr>
      <w:r>
        <w:rPr>
          <w:rFonts w:ascii="Times New Roman" w:hAnsi="Times New Roman"/>
          <w:b/>
          <w:color w:val="000000"/>
          <w:sz w:val="21"/>
        </w:rPr>
        <w:t>6. What is the role of the Idempotency-Key header?</w:t>
      </w:r>
    </w:p>
    <w:p>
      <w:pPr>
        <w:spacing w:after="80" w:line="288" w:lineRule="auto"/>
      </w:pPr>
      <w:r>
        <w:rPr>
          <w:rFonts w:ascii="Times New Roman" w:hAnsi="Times New Roman"/>
          <w:color w:val="000000"/>
          <w:sz w:val="20"/>
        </w:rPr>
        <w:t>It identifies one intended command across retries. The server stores its resolution so a duplicate request does not become a duplicate movement.</w:t>
      </w:r>
    </w:p>
    <w:p>
      <w:pPr>
        <w:spacing w:before="140" w:after="40" w:line="278" w:lineRule="auto"/>
      </w:pPr>
      <w:r>
        <w:rPr>
          <w:rFonts w:ascii="Times New Roman" w:hAnsi="Times New Roman"/>
          <w:b/>
          <w:color w:val="000000"/>
          <w:sz w:val="21"/>
        </w:rPr>
        <w:t>7. What is a request fingerprint?</w:t>
      </w:r>
    </w:p>
    <w:p>
      <w:pPr>
        <w:spacing w:after="80" w:line="288" w:lineRule="auto"/>
      </w:pPr>
      <w:r>
        <w:rPr>
          <w:rFonts w:ascii="Times New Roman" w:hAnsi="Times New Roman"/>
          <w:color w:val="000000"/>
          <w:sz w:val="20"/>
        </w:rPr>
        <w:t>It is a standard representation of the command content used to detect whether a retry key is being reused for the same intent or a different one.</w:t>
      </w:r>
    </w:p>
    <w:p>
      <w:pPr>
        <w:spacing w:before="140" w:after="40" w:line="278" w:lineRule="auto"/>
      </w:pPr>
      <w:r>
        <w:rPr>
          <w:rFonts w:ascii="Times New Roman" w:hAnsi="Times New Roman"/>
          <w:b/>
          <w:color w:val="000000"/>
          <w:sz w:val="21"/>
        </w:rPr>
        <w:t>8. What does response_unknown mean?</w:t>
      </w:r>
    </w:p>
    <w:p>
      <w:pPr>
        <w:spacing w:after="80" w:line="288" w:lineRule="auto"/>
      </w:pPr>
      <w:r>
        <w:rPr>
          <w:rFonts w:ascii="Times New Roman" w:hAnsi="Times New Roman"/>
          <w:color w:val="000000"/>
          <w:sz w:val="20"/>
        </w:rPr>
        <w:t>It means the client did not receive a trustworthy final answer. The server may have committed, so the safe action is to retry the exact same request with the same idempotency key.</w:t>
      </w:r>
    </w:p>
    <w:p>
      <w:pPr>
        <w:spacing w:before="140" w:after="40" w:line="278" w:lineRule="auto"/>
      </w:pPr>
      <w:r>
        <w:rPr>
          <w:rFonts w:ascii="Times New Roman" w:hAnsi="Times New Roman"/>
          <w:b/>
          <w:color w:val="000000"/>
          <w:sz w:val="21"/>
        </w:rPr>
        <w:t>9. What is message-oriented communication in LedgerSync?</w:t>
      </w:r>
    </w:p>
    <w:p>
      <w:pPr>
        <w:spacing w:after="80" w:line="288" w:lineRule="auto"/>
      </w:pPr>
      <w:r>
        <w:rPr>
          <w:rFonts w:ascii="Times New Roman" w:hAnsi="Times New Roman"/>
          <w:color w:val="000000"/>
          <w:sz w:val="20"/>
        </w:rPr>
        <w:t>LedgerSync records safely saved outbox events in PostgreSQL and lets a worker process delivery later. This is background message-oriented communication.</w:t>
      </w:r>
    </w:p>
    <w:p>
      <w:pPr>
        <w:spacing w:before="140" w:after="40" w:line="278" w:lineRule="auto"/>
      </w:pPr>
      <w:r>
        <w:rPr>
          <w:rFonts w:ascii="Times New Roman" w:hAnsi="Times New Roman"/>
          <w:b/>
          <w:color w:val="000000"/>
          <w:sz w:val="21"/>
        </w:rPr>
        <w:t>10. Why use an outbox instead of sending a notification directly?</w:t>
      </w:r>
    </w:p>
    <w:p>
      <w:pPr>
        <w:spacing w:after="80" w:line="288" w:lineRule="auto"/>
      </w:pPr>
      <w:r>
        <w:rPr>
          <w:rFonts w:ascii="Times New Roman" w:hAnsi="Times New Roman"/>
          <w:color w:val="000000"/>
          <w:sz w:val="20"/>
        </w:rPr>
        <w:t>If the notification succeeds but the database fails, or the database succeeds but the notification fails, the system can become inconsistent. The outbox is committed with the ledger and delivered afterward.</w:t>
      </w:r>
    </w:p>
    <w:p>
      <w:pPr>
        <w:spacing w:before="140" w:after="40" w:line="278" w:lineRule="auto"/>
      </w:pPr>
      <w:r>
        <w:rPr>
          <w:rFonts w:ascii="Times New Roman" w:hAnsi="Times New Roman"/>
          <w:b/>
          <w:color w:val="000000"/>
          <w:sz w:val="21"/>
        </w:rPr>
        <w:t>11. What information is in a delivery attempt?</w:t>
      </w:r>
    </w:p>
    <w:p>
      <w:pPr>
        <w:spacing w:after="80" w:line="288" w:lineRule="auto"/>
      </w:pPr>
      <w:r>
        <w:rPr>
          <w:rFonts w:ascii="Times New Roman" w:hAnsi="Times New Roman"/>
          <w:color w:val="000000"/>
          <w:sz w:val="20"/>
        </w:rPr>
        <w:t>A delivery attempt records the event, endpoint reference, attempt number, status, response class, sanitized error code, due time, completion evidence, and the information needed to trace signed webhook delivery safely.</w:t>
      </w:r>
    </w:p>
    <w:p>
      <w:pPr>
        <w:spacing w:before="140" w:after="40" w:line="278" w:lineRule="auto"/>
      </w:pPr>
      <w:r>
        <w:rPr>
          <w:rFonts w:ascii="Times New Roman" w:hAnsi="Times New Roman"/>
          <w:b/>
          <w:color w:val="000000"/>
          <w:sz w:val="21"/>
        </w:rPr>
        <w:t>12. How are failed deliveries handled?</w:t>
      </w:r>
    </w:p>
    <w:p>
      <w:pPr>
        <w:spacing w:after="80" w:line="288" w:lineRule="auto"/>
      </w:pPr>
      <w:r>
        <w:rPr>
          <w:rFonts w:ascii="Times New Roman" w:hAnsi="Times New Roman"/>
          <w:color w:val="000000"/>
          <w:sz w:val="20"/>
        </w:rPr>
        <w:t>The worker retries according to safely saved attempt state. Exhausted deliveries become visible for reviewed recovery or replay rather than silently disappearing. Signed webhook endpoints can be investigated without reposting the financial transfer.</w:t>
      </w:r>
    </w:p>
    <w:p>
      <w:pPr>
        <w:spacing w:before="140" w:after="40" w:line="278" w:lineRule="auto"/>
      </w:pPr>
      <w:r>
        <w:rPr>
          <w:rFonts w:ascii="Times New Roman" w:hAnsi="Times New Roman"/>
          <w:b/>
          <w:color w:val="000000"/>
          <w:sz w:val="21"/>
        </w:rPr>
        <w:t>13. Does Redis transport become financial truth?</w:t>
      </w:r>
    </w:p>
    <w:p>
      <w:pPr>
        <w:spacing w:after="80" w:line="288" w:lineRule="auto"/>
      </w:pPr>
      <w:r>
        <w:rPr>
          <w:rFonts w:ascii="Times New Roman" w:hAnsi="Times New Roman"/>
          <w:color w:val="000000"/>
          <w:sz w:val="20"/>
        </w:rPr>
        <w:t>No. Redis is a transport/cache adapter. PostgreSQL remains the safely saved authority for transfers, ledger postings, idempotency, and outbox records.</w:t>
      </w:r>
    </w:p>
    <w:p>
      <w:pPr>
        <w:spacing w:before="140" w:after="40" w:line="278" w:lineRule="auto"/>
      </w:pPr>
      <w:r>
        <w:rPr>
          <w:rFonts w:ascii="Times New Roman" w:hAnsi="Times New Roman"/>
          <w:b/>
          <w:color w:val="000000"/>
          <w:sz w:val="21"/>
        </w:rPr>
        <w:t>14. What is stream-oriented communication?</w:t>
      </w:r>
    </w:p>
    <w:p>
      <w:pPr>
        <w:spacing w:after="80" w:line="288" w:lineRule="auto"/>
      </w:pPr>
      <w:r>
        <w:rPr>
          <w:rFonts w:ascii="Times New Roman" w:hAnsi="Times New Roman"/>
          <w:color w:val="000000"/>
          <w:sz w:val="20"/>
        </w:rPr>
        <w:t>It is communication based on continuous ordered streams, often used for audio, video, or long-lived data. LedgerSync does not use it as its primary financial command path.</w:t>
      </w:r>
    </w:p>
    <w:p>
      <w:pPr>
        <w:spacing w:before="140" w:after="40" w:line="278" w:lineRule="auto"/>
      </w:pPr>
      <w:r>
        <w:rPr>
          <w:rFonts w:ascii="Times New Roman" w:hAnsi="Times New Roman"/>
          <w:b/>
          <w:color w:val="000000"/>
          <w:sz w:val="21"/>
        </w:rPr>
        <w:t>15. Why does LedgerSync not use WebRTC?</w:t>
      </w:r>
    </w:p>
    <w:p>
      <w:pPr>
        <w:spacing w:after="80" w:line="288" w:lineRule="auto"/>
      </w:pPr>
      <w:r>
        <w:rPr>
          <w:rFonts w:ascii="Times New Roman" w:hAnsi="Times New Roman"/>
          <w:color w:val="000000"/>
          <w:sz w:val="20"/>
        </w:rPr>
        <w:t>WebRTC is designed for real-time browser peer communication. Financial posting must go through authenticated, authorized, safely saved server-side transaction boundaries.</w:t>
      </w:r>
    </w:p>
    <w:p>
      <w:pPr>
        <w:spacing w:before="140" w:after="40" w:line="278" w:lineRule="auto"/>
      </w:pPr>
      <w:r>
        <w:rPr>
          <w:rFonts w:ascii="Times New Roman" w:hAnsi="Times New Roman"/>
          <w:b/>
          <w:color w:val="000000"/>
          <w:sz w:val="21"/>
        </w:rPr>
        <w:t>16. Why does LedgerSync not use P2P money messages?</w:t>
      </w:r>
    </w:p>
    <w:p>
      <w:pPr>
        <w:spacing w:after="80" w:line="288" w:lineRule="auto"/>
      </w:pPr>
      <w:r>
        <w:rPr>
          <w:rFonts w:ascii="Times New Roman" w:hAnsi="Times New Roman"/>
          <w:color w:val="000000"/>
          <w:sz w:val="20"/>
        </w:rPr>
        <w:t>Peer-to-peer messaging would make centralized authorization, safely saved audit, idempotency, and double-entry posting difficult to prove. LedgerSync keeps the financial authority central.</w:t>
      </w:r>
    </w:p>
    <w:p>
      <w:pPr>
        <w:spacing w:before="140" w:after="40" w:line="278" w:lineRule="auto"/>
      </w:pPr>
      <w:r>
        <w:rPr>
          <w:rFonts w:ascii="Times New Roman" w:hAnsi="Times New Roman"/>
          <w:b/>
          <w:color w:val="000000"/>
          <w:sz w:val="21"/>
        </w:rPr>
        <w:t>17. What is a customer workspace identifier?</w:t>
      </w:r>
    </w:p>
    <w:p>
      <w:pPr>
        <w:spacing w:after="80" w:line="288" w:lineRule="auto"/>
      </w:pPr>
      <w:r>
        <w:rPr>
          <w:rFonts w:ascii="Times New Roman" w:hAnsi="Times New Roman"/>
          <w:color w:val="000000"/>
          <w:sz w:val="20"/>
        </w:rPr>
        <w:t>It identifies the customer/workspace boundary. API handlers derive customer workspace authority from verified server-side identity rather than trusting a browser-provided customer workspace field.</w:t>
      </w:r>
    </w:p>
    <w:p>
      <w:pPr>
        <w:spacing w:before="140" w:after="40" w:line="278" w:lineRule="auto"/>
      </w:pPr>
      <w:r>
        <w:rPr>
          <w:rFonts w:ascii="Times New Roman" w:hAnsi="Times New Roman"/>
          <w:b/>
          <w:color w:val="000000"/>
          <w:sz w:val="21"/>
        </w:rPr>
        <w:t>18. What is an account identifier used for?</w:t>
      </w:r>
    </w:p>
    <w:p>
      <w:pPr>
        <w:spacing w:after="80" w:line="288" w:lineRule="auto"/>
      </w:pPr>
      <w:r>
        <w:rPr>
          <w:rFonts w:ascii="Times New Roman" w:hAnsi="Times New Roman"/>
          <w:color w:val="000000"/>
          <w:sz w:val="20"/>
        </w:rPr>
        <w:t>It identifies a ledger account within a customer workspace for authorization, balance lookup, transfer selection, history, and reconciliation.</w:t>
      </w:r>
    </w:p>
    <w:p>
      <w:pPr>
        <w:spacing w:before="140" w:after="40" w:line="278" w:lineRule="auto"/>
      </w:pPr>
      <w:r>
        <w:rPr>
          <w:rFonts w:ascii="Times New Roman" w:hAnsi="Times New Roman"/>
          <w:b/>
          <w:color w:val="000000"/>
          <w:sz w:val="21"/>
        </w:rPr>
        <w:t>19. What is a correlation ID?</w:t>
      </w:r>
    </w:p>
    <w:p>
      <w:pPr>
        <w:spacing w:after="80" w:line="288" w:lineRule="auto"/>
      </w:pPr>
      <w:r>
        <w:rPr>
          <w:rFonts w:ascii="Times New Roman" w:hAnsi="Times New Roman"/>
          <w:color w:val="000000"/>
          <w:sz w:val="20"/>
        </w:rPr>
        <w:t>It is a request-level identifier that links browser, BFF, API, database, outbox, worker, logs, telemetry, and support evidence without exposing secret data.</w:t>
      </w:r>
    </w:p>
    <w:p>
      <w:pPr>
        <w:spacing w:before="140" w:after="40" w:line="278" w:lineRule="auto"/>
      </w:pPr>
      <w:r>
        <w:rPr>
          <w:rFonts w:ascii="Times New Roman" w:hAnsi="Times New Roman"/>
          <w:b/>
          <w:color w:val="000000"/>
          <w:sz w:val="21"/>
        </w:rPr>
        <w:t>20. What is OIDC used for?</w:t>
      </w:r>
    </w:p>
    <w:p>
      <w:pPr>
        <w:spacing w:after="80" w:line="288" w:lineRule="auto"/>
      </w:pPr>
      <w:r>
        <w:rPr>
          <w:rFonts w:ascii="Times New Roman" w:hAnsi="Times New Roman"/>
          <w:color w:val="000000"/>
          <w:sz w:val="20"/>
        </w:rPr>
        <w:t>OIDC validates identity tokens and access tokens using issuer, signature, expiry, audience, token-use, client, and scope checks before the API accepts an operation.</w:t>
      </w:r>
    </w:p>
    <w:p>
      <w:pPr>
        <w:spacing w:before="140" w:after="40" w:line="278" w:lineRule="auto"/>
      </w:pPr>
      <w:r>
        <w:rPr>
          <w:rFonts w:ascii="Times New Roman" w:hAnsi="Times New Roman"/>
          <w:b/>
          <w:color w:val="000000"/>
          <w:sz w:val="21"/>
        </w:rPr>
        <w:t>21. Why is the BFF user or service assertion short-lived?</w:t>
      </w:r>
    </w:p>
    <w:p>
      <w:pPr>
        <w:spacing w:after="80" w:line="288" w:lineRule="auto"/>
      </w:pPr>
      <w:r>
        <w:rPr>
          <w:rFonts w:ascii="Times New Roman" w:hAnsi="Times New Roman"/>
          <w:color w:val="000000"/>
          <w:sz w:val="20"/>
        </w:rPr>
        <w:t>The BFF proves which user it is acting for using a signed assertion with a limited lifetime. This reduces replay risk and avoids giving the browser a private service credential.</w:t>
      </w:r>
    </w:p>
    <w:p>
      <w:pPr>
        <w:spacing w:before="140" w:after="40" w:line="278" w:lineRule="auto"/>
      </w:pPr>
      <w:r>
        <w:rPr>
          <w:rFonts w:ascii="Times New Roman" w:hAnsi="Times New Roman"/>
          <w:b/>
          <w:color w:val="000000"/>
          <w:sz w:val="21"/>
        </w:rPr>
        <w:t>22. What is CSRF protection?</w:t>
      </w:r>
    </w:p>
    <w:p>
      <w:pPr>
        <w:spacing w:after="80" w:line="288" w:lineRule="auto"/>
      </w:pPr>
      <w:r>
        <w:rPr>
          <w:rFonts w:ascii="Times New Roman" w:hAnsi="Times New Roman"/>
          <w:color w:val="000000"/>
          <w:sz w:val="20"/>
        </w:rPr>
        <w:t>Cross-Site Request Forgery protection prevents another website from causing a signed-in browser to submit a financial command. LedgerSync checks same-origin/CSRF evidence for writes.</w:t>
      </w:r>
    </w:p>
    <w:p>
      <w:pPr>
        <w:spacing w:before="140" w:after="40" w:line="278" w:lineRule="auto"/>
      </w:pPr>
      <w:r>
        <w:rPr>
          <w:rFonts w:ascii="Times New Roman" w:hAnsi="Times New Roman"/>
          <w:b/>
          <w:color w:val="000000"/>
          <w:sz w:val="21"/>
        </w:rPr>
        <w:t>23. What is rate limiting?</w:t>
      </w:r>
    </w:p>
    <w:p>
      <w:pPr>
        <w:spacing w:after="80" w:line="288" w:lineRule="auto"/>
      </w:pPr>
      <w:r>
        <w:rPr>
          <w:rFonts w:ascii="Times New Roman" w:hAnsi="Times New Roman"/>
          <w:color w:val="000000"/>
          <w:sz w:val="20"/>
        </w:rPr>
        <w:t>Rate limiting bounds attempts from an user or service or customer workspace during a time window. It protects the API and database from overload and limits unsafe retry storms.</w:t>
      </w:r>
    </w:p>
    <w:p>
      <w:pPr>
        <w:spacing w:before="140" w:after="40" w:line="278" w:lineRule="auto"/>
      </w:pPr>
      <w:r>
        <w:rPr>
          <w:rFonts w:ascii="Times New Roman" w:hAnsi="Times New Roman"/>
          <w:b/>
          <w:color w:val="000000"/>
          <w:sz w:val="21"/>
        </w:rPr>
        <w:t>24. How does LedgerSync handle an unavailable dependency?</w:t>
      </w:r>
    </w:p>
    <w:p>
      <w:pPr>
        <w:spacing w:after="80" w:line="288" w:lineRule="auto"/>
      </w:pPr>
      <w:r>
        <w:rPr>
          <w:rFonts w:ascii="Times New Roman" w:hAnsi="Times New Roman"/>
          <w:color w:val="000000"/>
          <w:sz w:val="20"/>
        </w:rPr>
        <w:t>It distinguishes unavailable or unknown state from valid empty data. It either falls back to PostgreSQL when safe or tells the operator that the result cannot currently be proven.</w:t>
      </w:r>
    </w:p>
    <w:p>
      <w:pPr>
        <w:spacing w:before="140" w:after="40" w:line="278" w:lineRule="auto"/>
      </w:pPr>
      <w:r>
        <w:rPr>
          <w:rFonts w:ascii="Times New Roman" w:hAnsi="Times New Roman"/>
          <w:b/>
          <w:color w:val="000000"/>
          <w:sz w:val="21"/>
        </w:rPr>
        <w:t>25. What does eventual delivery mean here?</w:t>
      </w:r>
    </w:p>
    <w:p>
      <w:pPr>
        <w:spacing w:after="80" w:line="288" w:lineRule="auto"/>
      </w:pPr>
      <w:r>
        <w:rPr>
          <w:rFonts w:ascii="Times New Roman" w:hAnsi="Times New Roman"/>
          <w:color w:val="000000"/>
          <w:sz w:val="20"/>
        </w:rPr>
        <w:t>Financial posting is committed immediately, while non-financial delivery work such as events or webhooks may complete later with retry evidence.</w:t>
      </w:r>
    </w:p>
    <w:p>
      <w:pPr>
        <w:spacing w:before="140" w:after="40" w:line="278" w:lineRule="auto"/>
      </w:pPr>
      <w:r>
        <w:rPr>
          <w:rFonts w:ascii="Times New Roman" w:hAnsi="Times New Roman"/>
          <w:b/>
          <w:color w:val="000000"/>
          <w:sz w:val="21"/>
        </w:rPr>
        <w:t>26. How does communication support auditability?</w:t>
      </w:r>
    </w:p>
    <w:p>
      <w:pPr>
        <w:spacing w:after="80" w:line="288" w:lineRule="auto"/>
      </w:pPr>
      <w:r>
        <w:rPr>
          <w:rFonts w:ascii="Times New Roman" w:hAnsi="Times New Roman"/>
          <w:color w:val="000000"/>
          <w:sz w:val="20"/>
        </w:rPr>
        <w:t>Stable identifiers, cannot be changed later command outcomes, journal IDs, correlation IDs, outbox records, and delivery attempts let an operator trace one intent through every stage.</w:t>
      </w:r>
    </w:p>
    <w:p>
      <w:pPr>
        <w:spacing w:before="140" w:after="40" w:line="278" w:lineRule="auto"/>
      </w:pPr>
      <w:r>
        <w:rPr>
          <w:rFonts w:ascii="Times New Roman" w:hAnsi="Times New Roman"/>
          <w:b/>
          <w:color w:val="000000"/>
          <w:sz w:val="21"/>
        </w:rPr>
        <w:t>27. Why are timeouts not treated as normal failures?</w:t>
      </w:r>
    </w:p>
    <w:p>
      <w:pPr>
        <w:spacing w:after="80" w:line="288" w:lineRule="auto"/>
      </w:pPr>
      <w:r>
        <w:rPr>
          <w:rFonts w:ascii="Times New Roman" w:hAnsi="Times New Roman"/>
          <w:color w:val="000000"/>
          <w:sz w:val="20"/>
        </w:rPr>
        <w:t>A timeout can occur before or after the remote server commits. In a financial system it is an unknown outcome, so safe retry must reuse the same idempotency key.</w:t>
      </w:r>
    </w:p>
    <w:p>
      <w:pPr>
        <w:spacing w:before="140" w:after="40" w:line="278" w:lineRule="auto"/>
      </w:pPr>
      <w:r>
        <w:rPr>
          <w:rFonts w:ascii="Times New Roman" w:hAnsi="Times New Roman"/>
          <w:b/>
          <w:color w:val="000000"/>
          <w:sz w:val="21"/>
        </w:rPr>
        <w:t>28. What is the difference between synchronous and background communication here?</w:t>
      </w:r>
    </w:p>
    <w:p>
      <w:pPr>
        <w:spacing w:after="80" w:line="288" w:lineRule="auto"/>
      </w:pPr>
      <w:r>
        <w:rPr>
          <w:rFonts w:ascii="Times New Roman" w:hAnsi="Times New Roman"/>
          <w:color w:val="000000"/>
          <w:sz w:val="20"/>
        </w:rPr>
        <w:t>The transfer command is synchronous because the caller needs a committed or safely unknown outcome. Event/webhook delivery is background because it can happen later without changing posted money.</w:t>
      </w:r>
    </w:p>
    <w:p>
      <w:pPr>
        <w:spacing w:before="140" w:after="40" w:line="278" w:lineRule="auto"/>
      </w:pPr>
      <w:r>
        <w:rPr>
          <w:rFonts w:ascii="Times New Roman" w:hAnsi="Times New Roman"/>
          <w:b/>
          <w:color w:val="000000"/>
          <w:sz w:val="21"/>
        </w:rPr>
        <w:t>29. How does a database transaction help communication correctness?</w:t>
      </w:r>
    </w:p>
    <w:p>
      <w:pPr>
        <w:spacing w:after="80" w:line="288" w:lineRule="auto"/>
      </w:pPr>
      <w:r>
        <w:rPr>
          <w:rFonts w:ascii="Times New Roman" w:hAnsi="Times New Roman"/>
          <w:color w:val="000000"/>
          <w:sz w:val="20"/>
        </w:rPr>
        <w:t>It atomically binds the received command to its idempotency outcome, ledger postings, audit evidence, balance updates, and outgoing outbox message.</w:t>
      </w:r>
    </w:p>
    <w:p>
      <w:pPr>
        <w:spacing w:before="140" w:after="40" w:line="278" w:lineRule="auto"/>
      </w:pPr>
      <w:r>
        <w:rPr>
          <w:rFonts w:ascii="Times New Roman" w:hAnsi="Times New Roman"/>
          <w:b/>
          <w:color w:val="000000"/>
          <w:sz w:val="21"/>
        </w:rPr>
        <w:t>30. What is the most important communication principle in LedgerSync?</w:t>
      </w:r>
    </w:p>
    <w:p>
      <w:pPr>
        <w:spacing w:after="80" w:line="288" w:lineRule="auto"/>
      </w:pPr>
      <w:r>
        <w:rPr>
          <w:rFonts w:ascii="Times New Roman" w:hAnsi="Times New Roman"/>
          <w:color w:val="000000"/>
          <w:sz w:val="20"/>
        </w:rPr>
        <w:t>Never make a financial retry guess. Every command must have an authenticated identity, bounded input, exact intent, safely saved result, and a safe response-unknown path.</w:t>
      </w:r>
    </w:p>
    <w:p>
      <w:pPr>
        <w:pStyle w:val="Heading1"/>
        <w:keepNext/>
      </w:pPr>
      <w:r>
        <w:rPr>
          <w:rFonts w:ascii="Times New Roman" w:hAnsi="Times New Roman"/>
          <w:b/>
          <w:color w:val="000000"/>
          <w:sz w:val="32"/>
        </w:rPr>
        <w:t>2.11 Ten Unit II facts to memorize</w:t>
      </w:r>
    </w:p>
    <w:p>
      <w:pPr>
        <w:pStyle w:val="ListBullet"/>
        <w:spacing w:after="80" w:line="300" w:lineRule="auto"/>
      </w:pPr>
      <w:r>
        <w:rPr>
          <w:rFonts w:ascii="Times New Roman" w:hAnsi="Times New Roman"/>
          <w:color w:val="000000"/>
          <w:sz w:val="21"/>
        </w:rPr>
        <w:t>LedgerSync uses HTTPS REST-style communication through a browser BFF and private Go API.</w:t>
      </w:r>
    </w:p>
    <w:p>
      <w:pPr>
        <w:pStyle w:val="ListBullet"/>
        <w:spacing w:after="80" w:line="300" w:lineRule="auto"/>
      </w:pPr>
      <w:r>
        <w:rPr>
          <w:rFonts w:ascii="Times New Roman" w:hAnsi="Times New Roman"/>
          <w:color w:val="000000"/>
          <w:sz w:val="21"/>
        </w:rPr>
        <w:t>Every financial mutation uses an idempotency key and request fingerprint.</w:t>
      </w:r>
    </w:p>
    <w:p>
      <w:pPr>
        <w:pStyle w:val="ListBullet"/>
        <w:spacing w:after="80" w:line="300" w:lineRule="auto"/>
      </w:pPr>
      <w:r>
        <w:rPr>
          <w:rFonts w:ascii="Times New Roman" w:hAnsi="Times New Roman"/>
          <w:color w:val="000000"/>
          <w:sz w:val="21"/>
        </w:rPr>
        <w:t>A timeout may mean the server committed; retry the same intent and same key.</w:t>
      </w:r>
    </w:p>
    <w:p>
      <w:pPr>
        <w:pStyle w:val="ListBullet"/>
        <w:spacing w:after="80" w:line="300" w:lineRule="auto"/>
      </w:pPr>
      <w:r>
        <w:rPr>
          <w:rFonts w:ascii="Times New Roman" w:hAnsi="Times New Roman"/>
          <w:color w:val="000000"/>
          <w:sz w:val="21"/>
        </w:rPr>
        <w:t>BFF session and CSRF protections defend browser-initiated writes.</w:t>
      </w:r>
    </w:p>
    <w:p>
      <w:pPr>
        <w:pStyle w:val="ListBullet"/>
        <w:spacing w:after="80" w:line="300" w:lineRule="auto"/>
      </w:pPr>
      <w:r>
        <w:rPr>
          <w:rFonts w:ascii="Times New Roman" w:hAnsi="Times New Roman"/>
          <w:color w:val="000000"/>
          <w:sz w:val="21"/>
        </w:rPr>
        <w:t>OIDC validates token issuer, signature, expiry, audience, token type, client, and scopes.</w:t>
      </w:r>
    </w:p>
    <w:p>
      <w:pPr>
        <w:pStyle w:val="ListBullet"/>
        <w:spacing w:after="80" w:line="300" w:lineRule="auto"/>
      </w:pPr>
      <w:r>
        <w:rPr>
          <w:rFonts w:ascii="Times New Roman" w:hAnsi="Times New Roman"/>
          <w:color w:val="000000"/>
          <w:sz w:val="21"/>
        </w:rPr>
        <w:t>The BFF uses short-lived signed user or service assertions for server-to-server delegated user context.</w:t>
      </w:r>
    </w:p>
    <w:p>
      <w:pPr>
        <w:pStyle w:val="ListBullet"/>
        <w:spacing w:after="80" w:line="300" w:lineRule="auto"/>
      </w:pPr>
      <w:r>
        <w:rPr>
          <w:rFonts w:ascii="Times New Roman" w:hAnsi="Times New Roman"/>
          <w:color w:val="000000"/>
          <w:sz w:val="21"/>
        </w:rPr>
        <w:t>The PostgreSQL transactional outbox (a saved list of messages to send later) decouples committed financial posting from later delivery work.</w:t>
      </w:r>
    </w:p>
    <w:p>
      <w:pPr>
        <w:pStyle w:val="ListBullet"/>
        <w:spacing w:after="80" w:line="300" w:lineRule="auto"/>
      </w:pPr>
      <w:r>
        <w:rPr>
          <w:rFonts w:ascii="Times New Roman" w:hAnsi="Times New Roman"/>
          <w:color w:val="000000"/>
          <w:sz w:val="21"/>
        </w:rPr>
        <w:t>Outbox delivery attempts are safely saved evidence and can be retried or replayed safely.</w:t>
      </w:r>
    </w:p>
    <w:p>
      <w:pPr>
        <w:pStyle w:val="ListBullet"/>
        <w:spacing w:after="80" w:line="300" w:lineRule="auto"/>
      </w:pPr>
      <w:r>
        <w:rPr>
          <w:rFonts w:ascii="Times New Roman" w:hAnsi="Times New Roman"/>
          <w:color w:val="000000"/>
          <w:sz w:val="21"/>
        </w:rPr>
        <w:t>Tenant, account, transfer, journal, idempotency, and correlation IDs make distributed operations traceable.</w:t>
      </w:r>
    </w:p>
    <w:p>
      <w:pPr>
        <w:pStyle w:val="ListBullet"/>
        <w:spacing w:after="80" w:line="300" w:lineRule="auto"/>
      </w:pPr>
      <w:r>
        <w:rPr>
          <w:rFonts w:ascii="Times New Roman" w:hAnsi="Times New Roman"/>
          <w:color w:val="000000"/>
          <w:sz w:val="21"/>
        </w:rPr>
        <w:t>LedgerSync deliberately does not use P2P or WebRTC for financial transfer posting.</w:t>
      </w:r>
    </w:p>
    <w:p>
      <w:pPr>
        <w:pStyle w:val="Heading1"/>
        <w:keepNext/>
      </w:pPr>
      <w:r>
        <w:rPr>
          <w:rFonts w:ascii="Times New Roman" w:hAnsi="Times New Roman"/>
          <w:b/>
          <w:color w:val="000000"/>
          <w:sz w:val="32"/>
        </w:rPr>
        <w:t>2.12 Five Unit II project-explanation answers</w:t>
      </w:r>
    </w:p>
    <w:p>
      <w:pPr>
        <w:spacing w:before="120" w:after="40"/>
      </w:pPr>
      <w:r>
        <w:rPr>
          <w:rFonts w:ascii="Times New Roman" w:hAnsi="Times New Roman"/>
          <w:b/>
          <w:color w:val="000000"/>
          <w:sz w:val="24"/>
        </w:rPr>
        <w:t>How does the browser communicate securely with LedgerSync?</w:t>
      </w:r>
    </w:p>
    <w:p>
      <w:pPr>
        <w:spacing w:after="80" w:line="276" w:lineRule="auto"/>
      </w:pPr>
      <w:r>
        <w:rPr>
          <w:rFonts w:ascii="Times New Roman" w:hAnsi="Times New Roman"/>
          <w:color w:val="000000"/>
          <w:sz w:val="24"/>
        </w:rPr>
        <w:t>The browser calls same-origin BFF routes using a signed session. The BFF applies CSRF and origin checks, then communicates with the private API using server-side workload identity and a short-lived signed user or service assertion. The browser never receives internal service credentials.</w:t>
      </w:r>
    </w:p>
    <w:p>
      <w:pPr>
        <w:spacing w:before="120" w:after="40"/>
      </w:pPr>
      <w:r>
        <w:rPr>
          <w:rFonts w:ascii="Times New Roman" w:hAnsi="Times New Roman"/>
          <w:b/>
          <w:color w:val="000000"/>
          <w:sz w:val="24"/>
        </w:rPr>
        <w:t>How do you prevent duplicate transfers when the internet fails?</w:t>
      </w:r>
    </w:p>
    <w:p>
      <w:pPr>
        <w:spacing w:after="80" w:line="276" w:lineRule="auto"/>
      </w:pPr>
      <w:r>
        <w:rPr>
          <w:rFonts w:ascii="Times New Roman" w:hAnsi="Times New Roman"/>
          <w:color w:val="000000"/>
          <w:sz w:val="24"/>
        </w:rPr>
        <w:t>Before sending a transfer, LedgerSync retains an idempotency key and exact request intent. PostgreSQL stores the key, fingerprint, and final outcome. If the browser loses the response, it resends the same key and gets the original result instead of a second movement.</w:t>
      </w:r>
    </w:p>
    <w:p>
      <w:pPr>
        <w:spacing w:before="120" w:after="40"/>
      </w:pPr>
      <w:r>
        <w:rPr>
          <w:rFonts w:ascii="Times New Roman" w:hAnsi="Times New Roman"/>
          <w:b/>
          <w:color w:val="000000"/>
          <w:sz w:val="24"/>
        </w:rPr>
        <w:t>Explain the transactional outbox (a saved list of messages to send later) in LedgerSync.</w:t>
      </w:r>
    </w:p>
    <w:p>
      <w:pPr>
        <w:spacing w:after="80" w:line="276" w:lineRule="auto"/>
      </w:pPr>
      <w:r>
        <w:rPr>
          <w:rFonts w:ascii="Times New Roman" w:hAnsi="Times New Roman"/>
          <w:color w:val="000000"/>
          <w:sz w:val="24"/>
        </w:rPr>
        <w:t>The transfer transaction writes ledger evidence and an outbox event together in PostgreSQL. A separate worker delivers cache/event work later. This guarantees that delivery work is either safely recorded with the transfer or absent because the transfer did not commit.</w:t>
      </w:r>
    </w:p>
    <w:p>
      <w:pPr>
        <w:spacing w:before="120" w:after="40"/>
      </w:pPr>
      <w:r>
        <w:rPr>
          <w:rFonts w:ascii="Times New Roman" w:hAnsi="Times New Roman"/>
          <w:b/>
          <w:color w:val="000000"/>
          <w:sz w:val="24"/>
        </w:rPr>
        <w:t>Why do you not use WebRTC or P2P?</w:t>
      </w:r>
    </w:p>
    <w:p>
      <w:pPr>
        <w:spacing w:after="80" w:line="276" w:lineRule="auto"/>
      </w:pPr>
      <w:r>
        <w:rPr>
          <w:rFonts w:ascii="Times New Roman" w:hAnsi="Times New Roman"/>
          <w:color w:val="000000"/>
          <w:sz w:val="24"/>
        </w:rPr>
        <w:t>LedgerSync needs centralized server-side authorization, exact-money validation, safely saved idempotency, cannot be changed later double-entry posting, audit trails, and reconciliation. Direct peer communication is not an appropriate authority for these financial operations.</w:t>
      </w:r>
    </w:p>
    <w:p>
      <w:pPr>
        <w:spacing w:before="120" w:after="40"/>
      </w:pPr>
      <w:r>
        <w:rPr>
          <w:rFonts w:ascii="Times New Roman" w:hAnsi="Times New Roman"/>
          <w:b/>
          <w:color w:val="000000"/>
          <w:sz w:val="24"/>
        </w:rPr>
        <w:t>How do identifiers help fault tolerance?</w:t>
      </w:r>
    </w:p>
    <w:p>
      <w:pPr>
        <w:spacing w:after="80" w:line="276" w:lineRule="auto"/>
      </w:pPr>
      <w:r>
        <w:rPr>
          <w:rFonts w:ascii="Times New Roman" w:hAnsi="Times New Roman"/>
          <w:color w:val="000000"/>
          <w:sz w:val="24"/>
        </w:rPr>
        <w:t>Tenant, subject, account, transfer, journal, idempotency, and correlation IDs make each command attributable and traceable. They allow safe retry, limited to authorization, log correlation, outbox recovery, reconciliation, and support investigation.</w:t>
      </w:r>
    </w:p>
    <w:p>
      <w:pPr>
        <w:pStyle w:val="Heading1"/>
        <w:keepNext/>
      </w:pPr>
      <w:r>
        <w:rPr>
          <w:rFonts w:ascii="Times New Roman" w:hAnsi="Times New Roman"/>
          <w:b/>
          <w:color w:val="000000"/>
          <w:sz w:val="32"/>
        </w:rPr>
        <w:t>Appendix: Quick presentation script</w:t>
      </w:r>
    </w:p>
    <w:p>
      <w:pPr>
        <w:spacing w:before="0" w:after="120" w:line="276" w:lineRule="auto"/>
      </w:pPr>
      <w:r>
        <w:rPr>
          <w:rFonts w:ascii="Times New Roman" w:hAnsi="Times New Roman"/>
          <w:b w:val="0"/>
          <w:i w:val="0"/>
          <w:color w:val="000000"/>
          <w:sz w:val="22"/>
        </w:rPr>
        <w:t>LedgerSync is a distributed financial ledger system. A user works through a browser console, but the browser never directly accesses the database. The Next.js BFF handles the browser boundary, and the Go API validates identity and performs the financial transaction in PostgreSQL. Each completed transfer produces cannot be changed later double-entry postings, audit evidence, an idempotency outcome, and an outbox event in one transaction. Redis improves speed but is disposable, so PostgreSQL always remains the financial source of truth. If the internet fails, the same idempotency key safely returns the stored outcome instead of moving money twice. The worker later processes outbox delivery, and reconciliation proves projected balances agree with cannot be changed later postings.</w:t>
      </w:r>
    </w:p>
    <w:p>
      <w:pPr>
        <w:spacing w:before="0" w:after="0" w:line="276" w:lineRule="auto"/>
        <w:jc w:val="center"/>
      </w:pPr>
      <w:r>
        <w:rPr>
          <w:rFonts w:ascii="Times New Roman" w:hAnsi="Times New Roman"/>
          <w:b w:val="0"/>
          <w:i/>
          <w:color w:val="000000"/>
          <w:sz w:val="19"/>
        </w:rPr>
        <w:t>End of Units I and II guide.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