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Analisis Dimensi Teks Model Analisis Wacana Kritis Norman Fairclough</w:t>
      </w:r>
    </w:p>
    <w:p>
      <w:pPr>
        <w:pStyle w:val="Subtitle"/>
      </w:pPr>
      <w:r>
        <w:t xml:space="preserve">Objek Teks: “Nilai Tradisi dan Nilai Modern dalam Kebudayaan Kita”</w:t>
      </w:r>
    </w:p>
    <w:p>
      <w:pPr>
        <w:pStyle w:val="Normal"/>
      </w:pPr>
      <w:r>
        <w:t xml:space="preserve">Analisis ini membedah teks pada </w:t>
      </w:r>
      <w:r>
        <w:rPr>
          <w:b/>
        </w:rPr>
        <w:t xml:space="preserve">dimensi teks</w:t>
      </w:r>
      <w:r>
        <w:t xml:space="preserve"> (tahap deskripsi) dalam model tiga dimensi Norman Fairclough, yakni lapisan mikro-linguistik yang mengkaji bagaimana realitas dibahasakan melalui pilihan kata dan struktur gramatikal, sebelum ditautkan ke relasi kuasa dan ideologi pada dimensi berikutnya (Fairclough, 1989, 1992, 1995).</w:t>
      </w:r>
    </w:p>
    <w:p>
      <w:pPr>
        <w:pStyle w:val="Heading1"/>
      </w:pPr>
      <w:r>
        <w:t xml:space="preserve">A. Pengantar dan Karakter Umum Objek Teks</w:t>
      </w:r>
    </w:p>
    <w:p>
      <w:pPr>
        <w:pStyle w:val="Normal"/>
      </w:pPr>
      <w:r>
        <w:t xml:space="preserve">Teks yang dianalisis adalah esai kebudayaan reflektif yang mempersoalkan kedudukan nilai tradisi berhadapan dengan nilai modern bagi “kaum terpelajar Asia”, khususnya di negara-negara muda pascakolonial. Secara retoris teks bergerak dari bingkai krisis dunia (perang dunia, krisis manusia modern) menuju tesis pokok: modernitas adalah keniscayaan sejarah yang harus dirangkul, sedangkan nilai tradisi harus “ditimbang dan diuji kembali”. Pada dimensi teks, sikap ideologis ini tidak dinyatakan sebagai opini telanjang, melainkan dibangun melalui </w:t>
      </w:r>
      <w:r>
        <w:rPr>
          <w:b/>
        </w:rPr>
        <w:t xml:space="preserve">diksi</w:t>
      </w:r>
      <w:r>
        <w:t xml:space="preserve">, </w:t>
      </w:r>
      <w:r>
        <w:rPr>
          <w:b/>
        </w:rPr>
        <w:t xml:space="preserve">transitivitas</w:t>
      </w:r>
      <w:r>
        <w:t xml:space="preserve">, </w:t>
      </w:r>
      <w:r>
        <w:rPr>
          <w:b/>
        </w:rPr>
        <w:t xml:space="preserve">nominalisasi/pemasifan</w:t>
      </w:r>
      <w:r>
        <w:t xml:space="preserve">, </w:t>
      </w:r>
      <w:r>
        <w:rPr>
          <w:b/>
        </w:rPr>
        <w:t xml:space="preserve">modalitas</w:t>
      </w:r>
      <w:r>
        <w:t xml:space="preserve">, </w:t>
      </w:r>
      <w:r>
        <w:rPr>
          <w:b/>
        </w:rPr>
        <w:t xml:space="preserve">kata ganti</w:t>
      </w:r>
      <w:r>
        <w:t xml:space="preserve">, serta </w:t>
      </w:r>
      <w:r>
        <w:rPr>
          <w:b/>
        </w:rPr>
        <w:t xml:space="preserve">kohesi dan struktur</w:t>
      </w:r>
      <w:r>
        <w:t xml:space="preserve"> teks.</w:t>
      </w:r>
    </w:p>
    <w:p>
      <w:pPr>
        <w:pStyle w:val="Heading1"/>
      </w:pPr>
      <w:r>
        <w:t xml:space="preserve">B. Kosakata / Diksi (Nilai Eksperiensial)</w:t>
      </w:r>
    </w:p>
    <w:p>
      <w:pPr>
        <w:pStyle w:val="Heading2"/>
      </w:pPr>
      <w:r>
        <w:t xml:space="preserve">1. Oposisi biner leksikal</w:t>
      </w:r>
    </w:p>
    <w:p>
      <w:pPr>
        <w:pStyle w:val="Normal"/>
      </w:pPr>
      <w:r>
        <w:t xml:space="preserve">Sepanjang teks dibangun sistem oposisi biner yang konsisten dan saling menguatkan: </w:t>
      </w:r>
      <w:r>
        <w:rPr>
          <w:b/>
        </w:rPr>
        <w:t xml:space="preserve">tradisi / lama / nenek moyang / pusaka / suci</w:t>
      </w:r>
      <w:r>
        <w:t xml:space="preserve"> dipertentangkan dengan </w:t>
      </w:r>
      <w:r>
        <w:rPr>
          <w:b/>
        </w:rPr>
        <w:t xml:space="preserve">modern / baru / rasional / progresif / universal</w:t>
      </w:r>
      <w:r>
        <w:t xml:space="preserve">. Oposisi ini bukan sekadar deskriptif; ia menyusun peta nilai yang mengarahkan pembaca menilai satu kutub lebih unggul dari kutub lain.</w:t>
      </w:r>
    </w:p>
    <w:p>
      <w:pPr>
        <w:pStyle w:val="Quote"/>
      </w:pPr>
      <w:r>
        <w:t xml:space="preserve">“…zaman batu sejajar dengan zaman mesin, feodalisme dan mistisisme abad pertengahan sejajar dengan demokrasi dan rasionalisme zaman baru…”</w:t>
      </w:r>
    </w:p>
    <w:p>
      <w:pPr>
        <w:pStyle w:val="Heading2"/>
      </w:pPr>
      <w:r>
        <w:t xml:space="preserve">2. Diksi bermuatan negatif untuk kutub tradisi dan rakyat</w:t>
      </w:r>
    </w:p>
    <w:p>
      <w:pPr>
        <w:pStyle w:val="Normal"/>
      </w:pPr>
      <w:r>
        <w:t xml:space="preserve">Kutub tradisi dan kelompok yang terikat padanya dilekati kata-kata berkonotasi kurang (defisit): </w:t>
      </w:r>
      <w:r>
        <w:rPr>
          <w:b/>
        </w:rPr>
        <w:t xml:space="preserve">“terbelakang”, “keterbelakangan”, “kekolotan”, “primitif”, “bersahaja”</w:t>
      </w:r>
      <w:r>
        <w:t xml:space="preserve">. Pilihan leksikal ini menaturalisasi anggapan bahwa masyarakat tradisional berada pada posisi lebih rendah yang perlu “diangkat”.</w:t>
      </w:r>
    </w:p>
    <w:p>
      <w:pPr>
        <w:pStyle w:val="Quote"/>
      </w:pPr>
      <w:r>
        <w:t xml:space="preserve">“…dapat kita lambat laun mengeluarkan rakyat kita dari keterbelakangan dan kekolotan, masuk ke dunia modern…”</w:t>
      </w:r>
    </w:p>
    <w:p>
      <w:pPr>
        <w:pStyle w:val="Heading2"/>
      </w:pPr>
      <w:r>
        <w:t xml:space="preserve">3. Diksi bermuatan positif untuk kutub modern</w:t>
      </w:r>
    </w:p>
    <w:p>
      <w:pPr>
        <w:pStyle w:val="Normal"/>
      </w:pPr>
      <w:r>
        <w:t xml:space="preserve">Sebaliknya, kutub modern konsisten dilekati kata bernilai lebih (surplus): </w:t>
      </w:r>
      <w:r>
        <w:rPr>
          <w:b/>
        </w:rPr>
        <w:t xml:space="preserve">“kemajuan”, “rasional”, “progresif”, “maju”, “matang”, “universal”</w:t>
      </w:r>
      <w:r>
        <w:t xml:space="preserve">. Kata “kemajuan” menjadi kata kunci yang berulang (overwording), menandakan area yang secara ideologis diperjuangkan penulis.</w:t>
      </w:r>
    </w:p>
    <w:p>
      <w:pPr>
        <w:pStyle w:val="Heading2"/>
      </w:pPr>
      <w:r>
        <w:t xml:space="preserve">4. Metafora</w:t>
      </w:r>
    </w:p>
    <w:p>
      <w:pPr>
        <w:pStyle w:val="Normal"/>
      </w:pPr>
      <w:r>
        <w:t xml:space="preserve">Metafora memperkuat pembingkaian. Kondisi kaum terpelajar digambarkan </w:t>
      </w:r>
      <w:r>
        <w:rPr>
          <w:b/>
        </w:rPr>
        <w:t xml:space="preserve">“terapung-apung antara dua kesulitan”</w:t>
      </w:r>
      <w:r>
        <w:t xml:space="preserve">; keterbelakangan masyarakat Asia dilukiskan </w:t>
      </w:r>
      <w:r>
        <w:rPr>
          <w:b/>
        </w:rPr>
        <w:t xml:space="preserve">“hidup serempak dalam tiga ribu tahun”</w:t>
      </w:r>
      <w:r>
        <w:t xml:space="preserve">; kekacauan pikiran disebut </w:t>
      </w:r>
      <w:r>
        <w:rPr>
          <w:b/>
        </w:rPr>
        <w:t xml:space="preserve">“kebingungan bahasa Babilonia”</w:t>
      </w:r>
      <w:r>
        <w:t xml:space="preserve">; sementara peran ideal intelektual adalah menjadi </w:t>
      </w:r>
      <w:r>
        <w:rPr>
          <w:b/>
        </w:rPr>
        <w:t xml:space="preserve">“tenaga penembus bermacam-macam pagar”</w:t>
      </w:r>
      <w:r>
        <w:t xml:space="preserve">. Metafora penglihatan (“membuka mata dan telinga”, “menggelapkan mata”) dipakai untuk menyamakan sikap modern dengan kejernihan dan sikap tradisional dengan kebutaan.</w:t>
      </w:r>
    </w:p>
    <w:p>
      <w:pPr>
        <w:pStyle w:val="Heading1"/>
      </w:pPr>
      <w:r>
        <w:t xml:space="preserve">C. Transitivitas dan Representasi Aktor (Nilai Eksperiensial)</w:t>
      </w:r>
    </w:p>
    <w:p>
      <w:pPr>
        <w:pStyle w:val="Normal"/>
      </w:pPr>
      <w:r>
        <w:t xml:space="preserve">Analisis transitivitas menelusuri </w:t>
      </w:r>
      <w:r>
        <w:rPr>
          <w:b/>
        </w:rPr>
        <w:t xml:space="preserve">siapa melakukan apa terhadap siapa</w:t>
      </w:r>
      <w:r>
        <w:t xml:space="preserve">. Dalam teks ini terdapat pembagian peran yang tajam dan berulang:</w:t>
      </w:r>
    </w:p>
    <w:p>
      <w:pPr>
        <w:pStyle w:val="ListBullet"/>
      </w:pPr>
      <w:r>
        <w:rPr>
          <w:b/>
        </w:rPr>
        <w:t xml:space="preserve">Aktor aktif (subjek proses material):</w:t>
      </w:r>
      <w:r>
        <w:t xml:space="preserve"> “kita”/“kaum terpelajar Asia” — pihak yang memimpin, mendorong, mengangkat, mengeluarkan, membawa, menguasai.</w:t>
      </w:r>
    </w:p>
    <w:p>
      <w:pPr>
        <w:pStyle w:val="ListBullet"/>
      </w:pPr>
      <w:r>
        <w:rPr>
          <w:b/>
        </w:rPr>
        <w:t xml:space="preserve">Sasaran / objek yang dikenai tindakan:</w:t>
      </w:r>
      <w:r>
        <w:t xml:space="preserve"> “rakyat”, “masyarakat yang terbelakang”, “nilai tradisi” — pihak yang dipimpin, diangkat, dididik, ditimbang, diuji.</w:t>
      </w:r>
    </w:p>
    <w:p>
      <w:pPr>
        <w:pStyle w:val="Quote"/>
      </w:pPr>
      <w:r>
        <w:t xml:space="preserve">“…ia mempunyai suatu kewajiban, yaitu mendorong dan memimpin masyarakat itu ke arah kemajuan zaman modern.”</w:t>
      </w:r>
    </w:p>
    <w:p>
      <w:pPr>
        <w:pStyle w:val="Quote"/>
      </w:pPr>
      <w:r>
        <w:t xml:space="preserve">“…mengangkat seluruh derajat rakyat kita ke tingkat kemajuan zaman modern itu.”</w:t>
      </w:r>
    </w:p>
    <w:p>
      <w:pPr>
        <w:pStyle w:val="Normal"/>
      </w:pPr>
      <w:r>
        <w:t xml:space="preserve">Rakyat nyaris tidak pernah tampil sebagai aktor yang berkata atau bertindak atas kehendaknya sendiri; suara dan alasan mereka tidak dihadirkan. Bahkan nilai tradisi diposisikan sebagai objek yang diperlakukan: </w:t>
      </w:r>
      <w:r>
        <w:rPr>
          <w:b/>
        </w:rPr>
        <w:t xml:space="preserve">“segala nilai tradisi itu harus ditimbang dan diuji kembali”</w:t>
      </w:r>
      <w:r>
        <w:t xml:space="preserve">. Dengan pola transitivitas ini, teks mengonstruksi kaum terpelajar sebagai subjek sejarah yang berdaya, dan rakyat serta tradisi sebagai objek yang pasif menanti tindakan.</w:t>
      </w:r>
    </w:p>
    <w:p>
      <w:pPr>
        <w:pStyle w:val="Heading1"/>
      </w:pPr>
      <w:r>
        <w:t xml:space="preserve">D. Nominalisasi dan Pemasifan</w:t>
      </w:r>
    </w:p>
    <w:p>
      <w:pPr>
        <w:pStyle w:val="Normal"/>
      </w:pPr>
      <w:r>
        <w:t xml:space="preserve">Teks sarat </w:t>
      </w:r>
      <w:r>
        <w:rPr>
          <w:b/>
        </w:rPr>
        <w:t xml:space="preserve">nominalisasi</w:t>
      </w:r>
      <w:r>
        <w:t xml:space="preserve"> — proses diubah menjadi benda abstrak: </w:t>
      </w:r>
      <w:r>
        <w:rPr>
          <w:b/>
        </w:rPr>
        <w:t xml:space="preserve">“kemajuan”, “keterbelakangan”, “kekolotan”, “pertentangan”, “krisis”, “interdependensi”, “pembangunan”, “pendidikan”</w:t>
      </w:r>
      <w:r>
        <w:t xml:space="preserve">. Nominalisasi menghapus pelaku dan waktu, sehingga proses tampak sebagai keadaan objektif yang berdiri sendiri: “kemajuan” seolah bergerak dengan sendirinya, bukan hasil perbuatan aktor tertentu. Efeknya, arah menuju modernitas terkesan sebagai hukum sejarah, bukan pilihan yang bisa diperdebatkan.</w:t>
      </w:r>
    </w:p>
    <w:p>
      <w:pPr>
        <w:pStyle w:val="Normal"/>
      </w:pPr>
      <w:r>
        <w:t xml:space="preserve">Pemasifan dan konstruksi impersonal (“dapat kita katakan”, “kelihatan kepada kita”, “dapat dipahami”) turut mengaburkan siapa yang menilai, sekaligus menyeret pembaca ke dalam kesepakatan yang seakan sudah umum diterima.</w:t>
      </w:r>
    </w:p>
    <w:p>
      <w:pPr>
        <w:pStyle w:val="Heading1"/>
      </w:pPr>
      <w:r>
        <w:t xml:space="preserve">E. Modalitas (Nilai Ekspresif dan Relasional)</w:t>
      </w:r>
    </w:p>
    <w:p>
      <w:pPr>
        <w:pStyle w:val="Normal"/>
      </w:pPr>
      <w:r>
        <w:t xml:space="preserve">Ciri paling menonjol pada tataran gramatika teks ini adalah </w:t>
      </w:r>
      <w:r>
        <w:rPr>
          <w:b/>
        </w:rPr>
        <w:t xml:space="preserve">modalitas deontik dan epistemik berderajat tinggi</w:t>
      </w:r>
      <w:r>
        <w:t xml:space="preserve"> — penanda keharusan dan kepastian yang kuat, yang menempatkan penutur pada posisi otoritatif:</w:t>
      </w:r>
    </w:p>
    <w:p>
      <w:pPr>
        <w:pStyle w:val="ListBullet"/>
      </w:pPr>
      <w:r>
        <w:rPr>
          <w:b/>
        </w:rPr>
        <w:t xml:space="preserve">Keharusan (deontik):</w:t>
      </w:r>
      <w:r>
        <w:t xml:space="preserve"> “harus”, “mesti”, “tidak boleh tidak”, “tidak dapat tidak”, “selayaknya”, “semestinya”, “berkewajiban”.</w:t>
      </w:r>
    </w:p>
    <w:p>
      <w:pPr>
        <w:pStyle w:val="ListBullet"/>
      </w:pPr>
      <w:r>
        <w:rPr>
          <w:b/>
        </w:rPr>
        <w:t xml:space="preserve">Kepastian (epistemik):</w:t>
      </w:r>
      <w:r>
        <w:t xml:space="preserve"> “tidak dapat disangkal”, “terang benar”, “jelaslah”, “sudah semestinya”.</w:t>
      </w:r>
    </w:p>
    <w:p>
      <w:pPr>
        <w:pStyle w:val="Quote"/>
      </w:pPr>
      <w:r>
        <w:t xml:space="preserve">“Kita mesti menguasai seluruh ilmu dan teknik modern… bagi kita tidak ada jalan mundur.”</w:t>
      </w:r>
    </w:p>
    <w:p>
      <w:pPr>
        <w:pStyle w:val="Quote"/>
      </w:pPr>
      <w:r>
        <w:t xml:space="preserve">“…tidak boleh tidak adalah secepat-cepatnya membawanya ke dalam kemajuan dunia modern yang luas.”</w:t>
      </w:r>
    </w:p>
    <w:p>
      <w:pPr>
        <w:pStyle w:val="Normal"/>
      </w:pPr>
      <w:r>
        <w:t xml:space="preserve">Modalitas tinggi ini menutup ruang alternatif: pilihan modernitas disajikan bukan sebagai salah satu opsi, melainkan sebagai kewajiban yang tak terelakkan. Sebaliknya, ketika menyangkut nilai tradisi, muncul modalitas rendah/berpeluang (</w:t>
      </w:r>
      <w:r>
        <w:rPr>
          <w:b/>
        </w:rPr>
        <w:t xml:space="preserve">“mungkin”</w:t>
      </w:r>
      <w:r>
        <w:t xml:space="preserve">) yang menandai statusnya sebagai sesuatu yang relatif dan dapat diubah maknanya.</w:t>
      </w:r>
    </w:p>
    <w:p>
      <w:pPr>
        <w:pStyle w:val="Quote"/>
      </w:pPr>
      <w:r>
        <w:t xml:space="preserve">“…yang dahulu suci mungkin sekarang menjadi profan dan yang dahulu profan mungkin sekarang menjadi suci.”</w:t>
      </w:r>
    </w:p>
    <w:p>
      <w:pPr>
        <w:pStyle w:val="Heading1"/>
      </w:pPr>
      <w:r>
        <w:t xml:space="preserve">F. Kata Ganti: “kita”, “mereka”, dan “saya”</w:t>
      </w:r>
    </w:p>
    <w:p>
      <w:pPr>
        <w:pStyle w:val="Normal"/>
      </w:pPr>
      <w:r>
        <w:rPr>
          <w:b/>
        </w:rPr>
        <w:t xml:space="preserve">“Kita” inklusif</w:t>
      </w:r>
      <w:r>
        <w:t xml:space="preserve"> mendominasi teks dan berfungsi merangkul pembaca ke dalam posisi penutur (“kaum terpelajar Asia”). Namun terdapat </w:t>
      </w:r>
      <w:r>
        <w:rPr>
          <w:b/>
        </w:rPr>
        <w:t xml:space="preserve">pergeseran rujukan “kita”</w:t>
      </w:r>
      <w:r>
        <w:t xml:space="preserve"> yang penting secara ideologis: pada sebagian besar teks “kita” berarti kaum terpelajar, sedangkan rakyat kebanyakan dirujuk sebagai </w:t>
      </w:r>
      <w:r>
        <w:rPr>
          <w:b/>
        </w:rPr>
        <w:t xml:space="preserve">“rakyat kita”</w:t>
      </w:r>
      <w:r>
        <w:t xml:space="preserve"> atau </w:t>
      </w:r>
      <w:r>
        <w:rPr>
          <w:b/>
        </w:rPr>
        <w:t xml:space="preserve">“mereka”</w:t>
      </w:r>
      <w:r>
        <w:t xml:space="preserve"> — objek yang berada di luar lingkaran “kita” yang bertindak.</w:t>
      </w:r>
    </w:p>
    <w:p>
      <w:pPr>
        <w:pStyle w:val="Quote"/>
      </w:pPr>
      <w:r>
        <w:t xml:space="preserve">“…sikap yang lapang seperti saya kemukakan ini sering masih sukar dipahami oleh rakyat kita yang banyak… karena kepada mereka belum sampai nilai-nilai dunia modern.”</w:t>
      </w:r>
    </w:p>
    <w:p>
      <w:pPr>
        <w:pStyle w:val="Normal"/>
      </w:pPr>
      <w:r>
        <w:t xml:space="preserve">Kemunculan </w:t>
      </w:r>
      <w:r>
        <w:rPr>
          <w:b/>
        </w:rPr>
        <w:t xml:space="preserve">“saya”</w:t>
      </w:r>
      <w:r>
        <w:t xml:space="preserve"> pada titik-titik krusial menegaskan identitas dan keberanian penulis (ethos): ia mengambil tanggung jawab personal atas pendirian yang kontroversial, sekaligus memposisikan diri sebagai suara jujur yang berani.</w:t>
      </w:r>
    </w:p>
    <w:p>
      <w:pPr>
        <w:pStyle w:val="Quote"/>
      </w:pPr>
      <w:r>
        <w:t xml:space="preserve">“Saya tahu bahwa dengan mengemukakan pendirian yang berterus terang ini, banyak orang Asia yang akan berkecil hati kepada saya; tetapi risiko itu saya terima…”</w:t>
      </w:r>
    </w:p>
    <w:p>
      <w:pPr>
        <w:pStyle w:val="Heading1"/>
      </w:pPr>
      <w:r>
        <w:t xml:space="preserve">G. Kohesi dan Struktur Teks (Nilai Tekstual)</w:t>
      </w:r>
    </w:p>
    <w:p>
      <w:pPr>
        <w:pStyle w:val="Normal"/>
      </w:pPr>
      <w:r>
        <w:t xml:space="preserve">Pada tataran kohesi, teks dipenuhi konjungsi </w:t>
      </w:r>
      <w:r>
        <w:rPr>
          <w:b/>
        </w:rPr>
        <w:t xml:space="preserve">kausal dan simpulan</w:t>
      </w:r>
      <w:r>
        <w:t xml:space="preserve">: “oleh karena”, “sebab”, “berhubung dengan itu”, “sehingga”, “dengan demikian”, “demikianlah”, “maka”. Rangkaian ini membangun kesan </w:t>
      </w:r>
      <w:r>
        <w:rPr>
          <w:b/>
        </w:rPr>
        <w:t xml:space="preserve">penalaran sebab-akibat yang rapat dan tak terbantah</w:t>
      </w:r>
      <w:r>
        <w:t xml:space="preserve">, memuncak pada klaim adanya “hubungan dialektik” antara materi dan rohani serta keniscayaan lahirnya “kebudayaan manusia yang universal”. Logika kausal inilah yang menaturalisasi tesis modernis: karena sejarah bergerak demikian, maka merangkul modernitas menjadi konsekuensi logis.</w:t>
      </w:r>
    </w:p>
    <w:p>
      <w:pPr>
        <w:pStyle w:val="Normal"/>
      </w:pPr>
      <w:r>
        <w:t xml:space="preserve">Secara </w:t>
      </w:r>
      <w:r>
        <w:rPr>
          <w:b/>
        </w:rPr>
        <w:t xml:space="preserve">struktur makro</w:t>
      </w:r>
      <w:r>
        <w:t xml:space="preserve">, teks membuka dengan skala global-krisis (mengangkat otoritas dan urgensi), menyempit ke dilema kaum terpelajar Asia, lalu menyajikan narasi sejarah panjang (6.000 tahun, “lompatan” abad ke-5 SM) untuk membingkai Barat sebagai kebudayaan universal yang telah menyerap semua kebudayaan, dan ditutup dengan penetapan tugas: menjadi manusia modern. Yang </w:t>
      </w:r>
      <w:r>
        <w:rPr>
          <w:b/>
        </w:rPr>
        <w:t xml:space="preserve">di-foreground-kan</w:t>
      </w:r>
      <w:r>
        <w:t xml:space="preserve"> (ditonjolkan di posisi tema/awal) adalah “kemajuan” dan “kaum terpelajar”; yang </w:t>
      </w:r>
      <w:r>
        <w:rPr>
          <w:b/>
        </w:rPr>
        <w:t xml:space="preserve">di-background-kan</w:t>
      </w:r>
      <w:r>
        <w:t xml:space="preserve"> adalah nasib serta perspektif rakyat dan nilai tradisi — yang didemosikan menjadi sekadar “alat pendidikan”.</w:t>
      </w:r>
    </w:p>
    <w:p>
      <w:pPr>
        <w:pStyle w:val="Quote"/>
      </w:pPr>
      <w:r>
        <w:t xml:space="preserve">“…tugas kita yang pertama sekali bukanlah bagaimana mempertahankan pusaka nenek moyang kita, tetapi adalah bagaimanakah kita dapat menjelmakan hidup kita bersama-sama dengan bangsa-bangsa yang lain dalam dunia yang baru.”</w:t>
      </w:r>
    </w:p>
    <w:p>
      <w:pPr>
        <w:pStyle w:val="Heading1"/>
      </w:pPr>
      <w:r>
        <w:t xml:space="preserve">H. Sintesis: Representasi – Relasi – Identitas</w:t>
      </w:r>
    </w:p>
    <w:p>
      <w:pPr>
        <w:pStyle w:val="Normal"/>
      </w:pPr>
      <w:r>
        <w:rPr>
          <w:b/>
        </w:rPr>
        <w:t xml:space="preserve">Representasi.</w:t>
      </w:r>
      <w:r>
        <w:t xml:space="preserve"> Modernitas direpresentasikan sebagai kemajuan dan keniscayaan sejarah universal; nilai tradisi direpresentasikan sebagai warisan defensif yang bernilai terbatas dan harus diseleksi; rakyat kebanyakan direpresentasikan sebagai pihak terbelakang yang menjadi objek pengangkatan derajat.</w:t>
      </w:r>
    </w:p>
    <w:p>
      <w:pPr>
        <w:pStyle w:val="Normal"/>
      </w:pPr>
      <w:r>
        <w:rPr>
          <w:b/>
        </w:rPr>
        <w:t xml:space="preserve">Relasi.</w:t>
      </w:r>
      <w:r>
        <w:t xml:space="preserve"> Teks membangun relasi </w:t>
      </w:r>
      <w:r>
        <w:rPr>
          <w:b/>
        </w:rPr>
        <w:t xml:space="preserve">hierarkis-paternalistik</w:t>
      </w:r>
      <w:r>
        <w:t xml:space="preserve">: kaum terpelajar (subjek, pemimpin, penilai) berada di atas rakyat (objek, yang dipimpin dan dididik). Relasi ini diperkuat oleh transitivitas, kata ganti “kita/mereka”, dan modalitas keharusan.</w:t>
      </w:r>
    </w:p>
    <w:p>
      <w:pPr>
        <w:pStyle w:val="Normal"/>
      </w:pPr>
      <w:r>
        <w:rPr>
          <w:b/>
        </w:rPr>
        <w:t xml:space="preserve">Identitas.</w:t>
      </w:r>
      <w:r>
        <w:t xml:space="preserve"> Penutur menampilkan identitas sebagai </w:t>
      </w:r>
      <w:r>
        <w:rPr>
          <w:b/>
        </w:rPr>
        <w:t xml:space="preserve">intelektual Asia modern</w:t>
      </w:r>
      <w:r>
        <w:t xml:space="preserve">: rasional, universalis, berani, dan “ahli waris yang sah dari seluruh kebudayaan dunia”. Identitas ini dibangun lewat penggunaan “saya” yang tegas, modalitas berkepastian tinggi, serta diksi progresif.</w:t>
      </w:r>
    </w:p>
    <w:p>
      <w:pPr>
        <w:pStyle w:val="Heading1"/>
      </w:pPr>
      <w:r>
        <w:t xml:space="preserve">I. Kesimpulan Dimensi Teks</w:t>
      </w:r>
    </w:p>
    <w:p>
      <w:pPr>
        <w:pStyle w:val="Normal"/>
      </w:pPr>
      <w:r>
        <w:t xml:space="preserve">Pada tataran dimensi teks, esai ini secara sistematis </w:t>
      </w:r>
      <w:r>
        <w:rPr>
          <w:b/>
        </w:rPr>
        <w:t xml:space="preserve">melegitimasi proyek modernisasi dan menaturalisasi otoritas kaum terpelajar</w:t>
      </w:r>
      <w:r>
        <w:t xml:space="preserve">, sekaligus </w:t>
      </w:r>
      <w:r>
        <w:rPr>
          <w:b/>
        </w:rPr>
        <w:t xml:space="preserve">meminggirkan nilai tradisi dan memosisikan rakyat sebagai objek</w:t>
      </w:r>
      <w:r>
        <w:t xml:space="preserve">. Efek ideologis itu tidak dinyatakan secara terbuka, melainkan diproduksi oleh kerja sama sejumlah pilihan kebahasaan: oposisi biner dan diksi defisit/surplus, transitivitas yang menjadikan rakyat sebagai sasaran, nominalisasi/pemasifan yang menghapus pelaku, modalitas deontik-epistemik berderajat tinggi yang menutup alternatif, pergeseran rujukan “kita/mereka”, serta kohesi kausal dan struktur makro yang membingkai modernitas sebagai puncak sejarah. Temuan mikro-tekstual inilah yang pada dimensi praktik diskursif dan sosiokultural selanjutnya dihubungkan dengan relasi kuasa antara elite terpelajar dan massa, serta dengan ideologi modernisme-universalis dalam wacana kebudayaan pascakolonial.</w:t>
      </w:r>
    </w:p>
    <w:p>
      <w:pPr>
        <w:pStyle w:val="Heading1"/>
      </w:pPr>
      <w:r>
        <w:t xml:space="preserve">Rujukan</w:t>
      </w:r>
    </w:p>
    <w:p>
      <w:pPr>
        <w:pStyle w:val="Normal"/>
      </w:pPr>
      <w:r>
        <w:t xml:space="preserve">Fairclough, N. (1989). Language and power. Longman.</w:t>
      </w:r>
    </w:p>
    <w:p>
      <w:pPr>
        <w:pStyle w:val="Normal"/>
      </w:pPr>
      <w:r>
        <w:t xml:space="preserve">Fairclough, N. (1992). Discourse and social change. Polity Press.</w:t>
      </w:r>
    </w:p>
    <w:p>
      <w:pPr>
        <w:pStyle w:val="Normal"/>
      </w:pPr>
      <w:r>
        <w:t xml:space="preserve">Fairclough, N. (1995). Critical discourse analysis: The critical study of language. Longman.</w:t>
      </w:r>
    </w:p>
    <w:p>
      <w:pPr>
        <w:pStyle w:val="Normal"/>
      </w:pPr>
      <w:r>
        <w:t xml:space="preserve">Halliday, M. A. K. (1994). An introduction to functional grammar (2nd ed.). Edward Arnold.</w:t>
      </w:r>
    </w:p>
    <w:p>
      <w:pPr>
        <w:pStyle w:val="Normal"/>
      </w:pPr>
      <w:r>
        <w:t xml:space="preserve">Catatan: Kutipan bukti diambil verbatim dari objek teks “Nilai Tradisi dan Nilai Modern dalam Kebudayaan Kita” (nilai_tradisi_modern.docx).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  <w:style w:type="paragraph" w:default="1" w:styleId="Normal">
    <w:name w:val="Normal"/>
    <w:pPr>
      <w:spacing w:after="160" w:line="276" w:lineRule="auto"/>
      <w:jc w:val="both"/>
    </w:pPr>
  </w:style>
  <w:style w:type="paragraph" w:styleId="Title">
    <w:name w:val="Title"/>
    <w:pPr>
      <w:spacing w:after="120"/>
      <w:jc w:val="left"/>
    </w:pPr>
    <w:rPr>
      <w:b/>
      <w:sz w:val="40"/>
    </w:rPr>
  </w:style>
  <w:style w:type="paragraph" w:styleId="Subtitle">
    <w:name w:val="Subtitle"/>
    <w:pPr>
      <w:spacing w:after="240"/>
    </w:pPr>
    <w:rPr>
      <w:i/>
      <w:sz w:val="26"/>
    </w:rPr>
  </w:style>
  <w:style w:type="paragraph" w:styleId="Heading1">
    <w:name w:val="heading 1"/>
    <w:basedOn w:val="Normal"/>
    <w:pPr>
      <w:keepNext/>
      <w:spacing w:before="280" w:after="120"/>
      <w:jc w:val="left"/>
    </w:pPr>
    <w:rPr>
      <w:b/>
      <w:sz w:val="30"/>
    </w:rPr>
  </w:style>
  <w:style w:type="paragraph" w:styleId="Heading2">
    <w:name w:val="heading 2"/>
    <w:basedOn w:val="Normal"/>
    <w:pPr>
      <w:keepNext/>
      <w:spacing w:before="200" w:after="80"/>
      <w:jc w:val="left"/>
    </w:pPr>
    <w:rPr>
      <w:b/>
      <w:sz w:val="25"/>
    </w:rPr>
  </w:style>
  <w:style w:type="paragraph" w:styleId="Quote">
    <w:name w:val="Quote"/>
    <w:basedOn w:val="Normal"/>
    <w:pPr>
      <w:ind w:left="567"/>
      <w:spacing w:after="160"/>
    </w:pPr>
    <w:rPr>
      <w:i/>
    </w:rPr>
  </w:style>
  <w:style w:type="paragraph" w:styleId="ListBullet">
    <w:name w:val="List Bullet"/>
    <w:basedOn w:val="Normal"/>
    <w:pPr>
      <w:ind w:left="360" w:hanging="360"/>
      <w:spacing w:after="100"/>
      <w:jc w:val="left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