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Analisis Dimensi Teks (Norman Fairclough) — Lengkap dan Menyeluruh</w:t>
      </w:r>
    </w:p>
    <w:p>
      <w:pPr>
        <w:pStyle w:val="Subtitle"/>
      </w:pPr>
      <w:r>
        <w:t xml:space="preserve">Objek Teks: “Nilai Tradisi dan Nilai Modern dalam Kebudayaan Kita”</w:t>
      </w:r>
    </w:p>
    <w:p>
      <w:pPr>
        <w:pStyle w:val="Normal"/>
      </w:pPr>
      <w:r>
        <w:t xml:space="preserve">Dokumen ini menganalisis teks pada </w:t>
      </w:r>
      <w:r>
        <w:rPr>
          <w:b/>
        </w:rPr>
        <w:t xml:space="preserve">dimensi teks</w:t>
      </w:r>
      <w:r>
        <w:t xml:space="preserve"> (tahap deskripsi) model tiga dimensi Fairclough secara menyeluruh, mengikuti tiga kelompok fitur kebahasaan — </w:t>
      </w:r>
      <w:r>
        <w:rPr>
          <w:b/>
        </w:rPr>
        <w:t xml:space="preserve">kosakata</w:t>
      </w:r>
      <w:r>
        <w:t xml:space="preserve">, </w:t>
      </w:r>
      <w:r>
        <w:rPr>
          <w:b/>
        </w:rPr>
        <w:t xml:space="preserve">tata bahasa</w:t>
      </w:r>
      <w:r>
        <w:t xml:space="preserve">, dan </w:t>
      </w:r>
      <w:r>
        <w:rPr>
          <w:b/>
        </w:rPr>
        <w:t xml:space="preserve">struktur teks/kohesi</w:t>
      </w:r>
      <w:r>
        <w:t xml:space="preserve"> — yang masing-masing dapat membawa </w:t>
      </w:r>
      <w:r>
        <w:rPr>
          <w:b/>
        </w:rPr>
        <w:t xml:space="preserve">nilai eksperiensial</w:t>
      </w:r>
      <w:r>
        <w:t xml:space="preserve"> (representasi), </w:t>
      </w:r>
      <w:r>
        <w:rPr>
          <w:b/>
        </w:rPr>
        <w:t xml:space="preserve">nilai relasional</w:t>
      </w:r>
      <w:r>
        <w:t xml:space="preserve"> (relasi sosial), dan </w:t>
      </w:r>
      <w:r>
        <w:rPr>
          <w:b/>
        </w:rPr>
        <w:t xml:space="preserve">nilai ekspresif</w:t>
      </w:r>
      <w:r>
        <w:t xml:space="preserve"> (identitas/evaluasi) (Fairclough, 1989, 1992, 1995). Setiap kategori disertai kutipan verbatim dari teks.</w:t>
      </w:r>
    </w:p>
    <w:p>
      <w:pPr>
        <w:pStyle w:val="Heading1"/>
      </w:pPr>
      <w:r>
        <w:t xml:space="preserve">BAGIAN I — KOSAKATA (Vocabulary)</w:t>
      </w:r>
    </w:p>
    <w:p>
      <w:pPr>
        <w:pStyle w:val="Heading2"/>
      </w:pPr>
      <w:r>
        <w:t xml:space="preserve">1.1 Klasifikasi &amp; Oposisi Biner (Nilai Eksperiensial)</w:t>
      </w:r>
    </w:p>
    <w:p>
      <w:pPr>
        <w:pStyle w:val="Normal"/>
      </w:pPr>
      <w:r>
        <w:t xml:space="preserve">Teks membangun skema klasifikasi berbasis oposisi biner tradisi↔modern yang konsisten, memetakan realitas ke dalam dua kutub bernilai timpang.</w:t>
      </w:r>
    </w:p>
    <w:p>
      <w:pPr>
        <w:pStyle w:val="Quote"/>
      </w:pPr>
      <w:r>
        <w:t xml:space="preserve">“…zaman batu sejajar dengan zaman mesin, feodalisme dan mistisisme abad pertengahan sejajar dengan demokrasi dan rasionalisme zaman baru, komunalisme masyarakat bersahaja terdapat di sisi perencanaan ekonomi zaman sekarang.”</w:t>
      </w:r>
    </w:p>
    <w:p>
      <w:pPr>
        <w:pStyle w:val="Quote"/>
      </w:pPr>
      <w:r>
        <w:t xml:space="preserve">“Dari suatu pihak ia serta dengan zaman modern yang maju, yang internasional… Dari pihak yang lain ia adalah seorang dari bangsa yang belum maju, yang sebagian terbesar masih hidup dalam nilai-nilai yang lama.”</w:t>
      </w:r>
    </w:p>
    <w:p>
      <w:pPr>
        <w:pStyle w:val="Normal"/>
      </w:pPr>
      <w:r>
        <w:t xml:space="preserve">Kategori: pasangan </w:t>
      </w:r>
      <w:r>
        <w:rPr>
          <w:b/>
        </w:rPr>
        <w:t xml:space="preserve">maju↔belum maju/terbelakang, modern↔lama, rasional↔mistis, mesin↔batu</w:t>
      </w:r>
      <w:r>
        <w:t xml:space="preserve"> — kutub kiri konsisten dinilai unggul.</w:t>
      </w:r>
    </w:p>
    <w:p>
      <w:pPr>
        <w:pStyle w:val="Heading2"/>
      </w:pPr>
      <w:r>
        <w:t xml:space="preserve">1.2 Overwording (Penumpukan Leksikal)</w:t>
      </w:r>
    </w:p>
    <w:p>
      <w:pPr>
        <w:pStyle w:val="Normal"/>
      </w:pPr>
      <w:r>
        <w:t xml:space="preserve">Pengulangan intensif frasa seputar “kemajuan ilmu dan teknik” menandai area yang secara ideologis diperjuangkan penulis.</w:t>
      </w:r>
    </w:p>
    <w:p>
      <w:pPr>
        <w:pStyle w:val="Quote"/>
      </w:pPr>
      <w:r>
        <w:t xml:space="preserve">“…kemajuan ilmu dan teknik yang tiada terduga…” / “…kemajuan ilmu dan teknik modern itu.” / “Kita mesti menguasai seluruh ilmu dan teknik modern…”</w:t>
      </w:r>
    </w:p>
    <w:p>
      <w:pPr>
        <w:pStyle w:val="Normal"/>
      </w:pPr>
      <w:r>
        <w:t xml:space="preserve">Kata </w:t>
      </w:r>
      <w:r>
        <w:rPr>
          <w:b/>
        </w:rPr>
        <w:t xml:space="preserve">“kemajuan”</w:t>
      </w:r>
      <w:r>
        <w:t xml:space="preserve">, </w:t>
      </w:r>
      <w:r>
        <w:rPr>
          <w:b/>
        </w:rPr>
        <w:t xml:space="preserve">“modern”</w:t>
      </w:r>
      <w:r>
        <w:t xml:space="preserve">, dan </w:t>
      </w:r>
      <w:r>
        <w:rPr>
          <w:b/>
        </w:rPr>
        <w:t xml:space="preserve">“kebudayaan”</w:t>
      </w:r>
      <w:r>
        <w:t xml:space="preserve"> muncul berulang-ulang sebagai kata kunci dominan.</w:t>
      </w:r>
    </w:p>
    <w:p>
      <w:pPr>
        <w:pStyle w:val="Heading2"/>
      </w:pPr>
      <w:r>
        <w:t xml:space="preserve">1.3 Rewording &amp; Relasi Makna (Sinonimi Berpasangan, Antonimi)</w:t>
      </w:r>
    </w:p>
    <w:p>
      <w:pPr>
        <w:pStyle w:val="Normal"/>
      </w:pPr>
      <w:r>
        <w:t xml:space="preserve">Teks gemar memakai pasangan sinonim/near-synonym untuk mempertegas makna, sekaligus antonimi yang menajamkan oposisi.</w:t>
      </w:r>
    </w:p>
    <w:p>
      <w:pPr>
        <w:pStyle w:val="Quote"/>
      </w:pPr>
      <w:r>
        <w:t xml:space="preserve">Sinonimi berpasangan: “tenaga-tenaga jasmani dan rohani”; “kekacauan dan kegelisahan”; “pusing dan lelah”; “keterbelakangan dan kekolotan”; “kemakmuran, kesehatan, dan kemungkinan-kemungkinan kesenangan”.</w:t>
      </w:r>
    </w:p>
    <w:p>
      <w:pPr>
        <w:pStyle w:val="Quote"/>
      </w:pPr>
      <w:r>
        <w:t xml:space="preserve">Antonimi: “yang dahulu suci mungkin sekarang menjadi profan dan yang dahulu profan mungkin sekarang menjadi suci.”</w:t>
      </w:r>
    </w:p>
    <w:p>
      <w:pPr>
        <w:pStyle w:val="Heading2"/>
      </w:pPr>
      <w:r>
        <w:t xml:space="preserve">1.4 Diksi Evaluatif — Defisit vs Surplus (Nilai Ekspresif)</w:t>
      </w:r>
    </w:p>
    <w:p>
      <w:pPr>
        <w:pStyle w:val="Normal"/>
      </w:pPr>
      <w:r>
        <w:t xml:space="preserve">Pilihan kata bermuatan menempatkan tradisi/rakyat pada medan makna kekurangan, dan modernitas pada medan makna keunggulan.</w:t>
      </w:r>
    </w:p>
    <w:p>
      <w:pPr>
        <w:pStyle w:val="Quote"/>
      </w:pPr>
      <w:r>
        <w:t xml:space="preserve">Defisit (tradisi/rakyat): “masyarakat yang terbelakang”, “keterbelakangan dan kekolotan”, “tingkat primitif”, “masyarakat bersahaja”, “pengosongan jiwa dan kekacauan”.</w:t>
      </w:r>
    </w:p>
    <w:p>
      <w:pPr>
        <w:pStyle w:val="Quote"/>
      </w:pPr>
      <w:r>
        <w:t xml:space="preserve">Surplus (modern): “dunia modern yang maju, yang internasional”, “pendidikannya yang rasional dan progresif”, “bangsa yang matang”, “sikap yang lapang”.</w:t>
      </w:r>
    </w:p>
    <w:p>
      <w:pPr>
        <w:pStyle w:val="Heading2"/>
      </w:pPr>
      <w:r>
        <w:t xml:space="preserve">1.5 Eufemisme &amp; Nilai Relasional</w:t>
      </w:r>
    </w:p>
    <w:p>
      <w:pPr>
        <w:pStyle w:val="Normal"/>
      </w:pPr>
      <w:r>
        <w:t xml:space="preserve">Retret ke tradisi diperhalus dengan diksi yang menenangkan, membentuk relasi empatik sebelum kemudian dikoreksi penulis.</w:t>
      </w:r>
    </w:p>
    <w:p>
      <w:pPr>
        <w:pStyle w:val="Quote"/>
      </w:pPr>
      <w:r>
        <w:t xml:space="preserve">“…tertarik untuk kembali kepada ketenangan masyarakat dan kebudayaan lama, kembali kepada nilai-nilai suci yang turun-temurun, yang membuat hidup seolah-olah tenang, penuh keagungan, dekat kepada sumber-sumber tenaga yang sakti dan suci.”</w:t>
      </w:r>
    </w:p>
    <w:p>
      <w:pPr>
        <w:pStyle w:val="Heading2"/>
      </w:pPr>
      <w:r>
        <w:t xml:space="preserve">1.6 Metafora</w:t>
      </w:r>
    </w:p>
    <w:p>
      <w:pPr>
        <w:pStyle w:val="Normal"/>
      </w:pPr>
      <w:r>
        <w:t xml:space="preserve">Metafora bekerja intensif membingkai penilaian. Dapat dikelompokkan:</w:t>
      </w:r>
    </w:p>
    <w:p>
      <w:pPr>
        <w:pStyle w:val="ListBullet"/>
      </w:pPr>
      <w:r>
        <w:rPr>
          <w:b/>
        </w:rPr>
        <w:t xml:space="preserve">Metafora waktu/ruang (keterbelakangan):</w:t>
      </w:r>
      <w:r>
        <w:t xml:space="preserve"> “tiap-tiap negara Asia sekarang hidup serempak dalam tiga ribu tahun.”</w:t>
      </w:r>
    </w:p>
    <w:p>
      <w:pPr>
        <w:pStyle w:val="ListBullet"/>
      </w:pPr>
      <w:r>
        <w:rPr>
          <w:b/>
        </w:rPr>
        <w:t xml:space="preserve">Metafora ketakberdayaan:</w:t>
      </w:r>
      <w:r>
        <w:t xml:space="preserve"> “kaum terpelajar Asia itu terapung-apung antara dua kesulitan.”</w:t>
      </w:r>
    </w:p>
    <w:p>
      <w:pPr>
        <w:pStyle w:val="ListBullet"/>
      </w:pPr>
      <w:r>
        <w:rPr>
          <w:b/>
        </w:rPr>
        <w:t xml:space="preserve">Metafora kekacauan:</w:t>
      </w:r>
      <w:r>
        <w:t xml:space="preserve"> “kekacauan pikiran—kebingungan bahasa Babilonia—di antara manusia makin bertambah.”</w:t>
      </w:r>
    </w:p>
    <w:p>
      <w:pPr>
        <w:pStyle w:val="ListBullet"/>
      </w:pPr>
      <w:r>
        <w:rPr>
          <w:b/>
        </w:rPr>
        <w:t xml:space="preserve">Metafora militer/pertahanan:</w:t>
      </w:r>
      <w:r>
        <w:t xml:space="preserve"> “kita masih pada kedudukan defensif, yaitu mempertahankan diri…”</w:t>
      </w:r>
    </w:p>
    <w:p>
      <w:pPr>
        <w:pStyle w:val="ListBullet"/>
      </w:pPr>
      <w:r>
        <w:rPr>
          <w:b/>
        </w:rPr>
        <w:t xml:space="preserve">Metafora penglihatan (modern=melihat, tradisi=buta):</w:t>
      </w:r>
      <w:r>
        <w:t xml:space="preserve"> “Siapa yang membuka mata dan telinganya…”; “Kesulitan kita sekarang ini jangan menggelapkan mata kita…”</w:t>
      </w:r>
    </w:p>
    <w:p>
      <w:pPr>
        <w:pStyle w:val="ListBullet"/>
      </w:pPr>
      <w:r>
        <w:rPr>
          <w:b/>
        </w:rPr>
        <w:t xml:space="preserve">Metafora pembebasan/penerobosan:</w:t>
      </w:r>
      <w:r>
        <w:t xml:space="preserve"> “ia akan menjadi tenaga penembus bermacam-macam pagar…”; “menembus pagar-pagar yang didirikan oleh politik, agama, ideologi.”</w:t>
      </w:r>
    </w:p>
    <w:p>
      <w:pPr>
        <w:pStyle w:val="ListBullet"/>
      </w:pPr>
      <w:r>
        <w:rPr>
          <w:b/>
        </w:rPr>
        <w:t xml:space="preserve">Metafora warisan:</w:t>
      </w:r>
      <w:r>
        <w:t xml:space="preserve"> “pusaka luhur yang kita warisi dari nenek moyang kita”; “mereka adalah ahli waris yang sah dari seluruh kebudayaan dunia.”</w:t>
      </w:r>
    </w:p>
    <w:p>
      <w:pPr>
        <w:pStyle w:val="Heading1"/>
      </w:pPr>
      <w:r>
        <w:t xml:space="preserve">BAGIAN II — TATA BAHASA (Grammar)</w:t>
      </w:r>
    </w:p>
    <w:p>
      <w:pPr>
        <w:pStyle w:val="Heading2"/>
      </w:pPr>
      <w:r>
        <w:t xml:space="preserve">2.1 Transitivitas &amp; Agensi — Aktor vs Sasaran (Nilai Eksperiensial)</w:t>
      </w:r>
    </w:p>
    <w:p>
      <w:pPr>
        <w:pStyle w:val="Normal"/>
      </w:pPr>
      <w:r>
        <w:t xml:space="preserve">Pola berulang: </w:t>
      </w:r>
      <w:r>
        <w:rPr>
          <w:b/>
        </w:rPr>
        <w:t xml:space="preserve">“kita”/kaum terpelajar sebagai Aktor</w:t>
      </w:r>
      <w:r>
        <w:t xml:space="preserve"> proses material, </w:t>
      </w:r>
      <w:r>
        <w:rPr>
          <w:b/>
        </w:rPr>
        <w:t xml:space="preserve">rakyat/tradisi sebagai Sasaran</w:t>
      </w:r>
      <w:r>
        <w:t xml:space="preserve"> yang dikenai tindakan dan tak bersuara.</w:t>
      </w:r>
    </w:p>
    <w:p>
      <w:pPr>
        <w:pStyle w:val="Quote"/>
      </w:pPr>
      <w:r>
        <w:t xml:space="preserve">Aktor→Sasaran: “…mendorong dan memimpin masyarakat itu ke arah kemajuan zaman modern.”</w:t>
      </w:r>
    </w:p>
    <w:p>
      <w:pPr>
        <w:pStyle w:val="Quote"/>
      </w:pPr>
      <w:r>
        <w:t xml:space="preserve">“…mengangkat seluruh derajat rakyat kita ke tingkat kemajuan zaman modern itu.”</w:t>
      </w:r>
    </w:p>
    <w:p>
      <w:pPr>
        <w:pStyle w:val="Quote"/>
      </w:pPr>
      <w:r>
        <w:t xml:space="preserve">“…dapat kita lambat laun mengeluarkan rakyat kita dari keterbelakangan dan kekolotan, masuk ke dunia modern…”</w:t>
      </w:r>
    </w:p>
    <w:p>
      <w:pPr>
        <w:pStyle w:val="Quote"/>
      </w:pPr>
      <w:r>
        <w:t xml:space="preserve">Tradisi sebagai objek yang diperlakukan: “…segala nilai tradisi itu harus ditimbang dan diuji kembali…”; “…nilai-nilai tradisi itu sebagai barang yang hidup harus kita hadapi dengan sungguh-sungguh…”</w:t>
      </w:r>
    </w:p>
    <w:p>
      <w:pPr>
        <w:pStyle w:val="Quote"/>
      </w:pPr>
      <w:r>
        <w:t xml:space="preserve">Rakyat tanpa agensi: “…rakyat kita yang banyak, yang sebagian besar masih hidup dalam nilai-nilai tradisi yang lama…”; “…karena kepada mereka belum sampai nilai-nilai dunia modern.”</w:t>
      </w:r>
    </w:p>
    <w:p>
      <w:pPr>
        <w:pStyle w:val="Heading2"/>
      </w:pPr>
      <w:r>
        <w:t xml:space="preserve">2.2 Nominalisasi</w:t>
      </w:r>
    </w:p>
    <w:p>
      <w:pPr>
        <w:pStyle w:val="Normal"/>
      </w:pPr>
      <w:r>
        <w:t xml:space="preserve">Proses diubah menjadi nomina abstrak sehingga pelaku dan waktu terhapus; peristiwa tampak sebagai keadaan objektif/keniscayaan.</w:t>
      </w:r>
    </w:p>
    <w:p>
      <w:pPr>
        <w:pStyle w:val="Quote"/>
      </w:pPr>
      <w:r>
        <w:t xml:space="preserve">Contoh nominalisasi: “kemajuan”, “keterbelakangan”, “kekolotan”, “pertentangan”, “kekalahan-kekalahan”, “interdependensi”, “pembangunan”, “pendidikan”, “penyelesaian”, “perkembangan”.</w:t>
      </w:r>
    </w:p>
    <w:p>
      <w:pPr>
        <w:pStyle w:val="Quote"/>
      </w:pPr>
      <w:r>
        <w:t xml:space="preserve">“Dalam kekalahan-kekalahan kita dalam pertemuan dengan dunia Barat…” — konflik panjang dipadatkan menjadi nomina, pelaku spesifik lenyap.</w:t>
      </w:r>
    </w:p>
    <w:p>
      <w:pPr>
        <w:pStyle w:val="Heading2"/>
      </w:pPr>
      <w:r>
        <w:t xml:space="preserve">2.3 Kalimat Pasif &amp; Konstruksi Impersonal</w:t>
      </w:r>
    </w:p>
    <w:p>
      <w:pPr>
        <w:pStyle w:val="Normal"/>
      </w:pPr>
      <w:r>
        <w:t xml:space="preserve">Pemasifan dan bentuk impersonal mengaburkan pelaku/penilai serta menyeret pembaca ke kesepakatan yang seolah umum.</w:t>
      </w:r>
    </w:p>
    <w:p>
      <w:pPr>
        <w:pStyle w:val="Quote"/>
      </w:pPr>
      <w:r>
        <w:t xml:space="preserve">Pasif (pelaku dihapus/dilatarkan): “…segala kebudayaan lain itu telah diselidiki…”; “…dapat dibaca dalam perpustakaan Eropa dan Amerika…”; “…ajaran Buddha diresapi, diberi arti baru oleh teori Marx…”</w:t>
      </w:r>
    </w:p>
    <w:p>
      <w:pPr>
        <w:pStyle w:val="Quote"/>
      </w:pPr>
      <w:r>
        <w:t xml:space="preserve">Impersonal: “dapat kita katakan”, “kelihatan kepada kita”, “dapat dipahami”, “tidaklah mengherankan”, “boleh dikatakan”.</w:t>
      </w:r>
    </w:p>
    <w:p>
      <w:pPr>
        <w:pStyle w:val="Heading2"/>
      </w:pPr>
      <w:r>
        <w:t xml:space="preserve">2.4 Polaritas Negatif (Positif/Negatif)</w:t>
      </w:r>
    </w:p>
    <w:p>
      <w:pPr>
        <w:pStyle w:val="Normal"/>
      </w:pPr>
      <w:r>
        <w:t xml:space="preserve">Konstruksi negasi ganda dipakai untuk menutup pilihan dan memaksakan keharusan.</w:t>
      </w:r>
    </w:p>
    <w:p>
      <w:pPr>
        <w:pStyle w:val="Quote"/>
      </w:pPr>
      <w:r>
        <w:t xml:space="preserve">“…bagi kita tidak ada jalan mundur.”; “…tidak boleh tidak adalah secepat-cepatnya membawanya ke dalam kemajuan dunia modern…”; “…tidak dapat tidak kita hanya dapat menjelmakan diri kita sebagai manusia modern.”</w:t>
      </w:r>
    </w:p>
    <w:p>
      <w:pPr>
        <w:pStyle w:val="Quote"/>
      </w:pPr>
      <w:r>
        <w:t xml:space="preserve">Larangan langsung: “Kesulitan kita sekarang ini jangan menggelapkan mata kita…”</w:t>
      </w:r>
    </w:p>
    <w:p>
      <w:pPr>
        <w:pStyle w:val="Heading2"/>
      </w:pPr>
      <w:r>
        <w:t xml:space="preserve">2.5 Modalitas Keharusan (Deontik) — Nilai Relasional/Ekspresif</w:t>
      </w:r>
    </w:p>
    <w:p>
      <w:pPr>
        <w:pStyle w:val="Normal"/>
      </w:pPr>
      <w:r>
        <w:t xml:space="preserve">Ciri paling dominan: penanda keharusan berderajat tinggi yang menempatkan penutur sebagai otoritas penetap kewajiban.</w:t>
      </w:r>
    </w:p>
    <w:p>
      <w:pPr>
        <w:pStyle w:val="Quote"/>
      </w:pPr>
      <w:r>
        <w:t xml:space="preserve">“…manusia sebagai keseluruhan harus memikirkan kembali dasar-dasar dari kehidupannya…”</w:t>
      </w:r>
    </w:p>
    <w:p>
      <w:pPr>
        <w:pStyle w:val="Quote"/>
      </w:pPr>
      <w:r>
        <w:t xml:space="preserve">“Kita mesti menguasai seluruh ilmu dan teknik modern; kita harus memberikan kepada bangsa-bangsa kita kemakmuran, kesehatan…”</w:t>
      </w:r>
    </w:p>
    <w:p>
      <w:pPr>
        <w:pStyle w:val="Quote"/>
      </w:pPr>
      <w:r>
        <w:t xml:space="preserve">“…mestilah kita berani melepaskan sejarah bangsa-bangsa maupun negara-negara satu persatu…”</w:t>
      </w:r>
    </w:p>
    <w:p>
      <w:pPr>
        <w:pStyle w:val="Quote"/>
      </w:pPr>
      <w:r>
        <w:t xml:space="preserve">Penanda: </w:t>
      </w:r>
      <w:r>
        <w:rPr>
          <w:b/>
        </w:rPr>
        <w:t xml:space="preserve">harus, mesti, mau tidak mau, tidak boleh tidak, tidak dapat tidak, berkewajiban, selayaknya, telah semestinya</w:t>
      </w:r>
      <w:r>
        <w:t xml:space="preserve">.</w:t>
      </w:r>
    </w:p>
    <w:p>
      <w:pPr>
        <w:pStyle w:val="Heading2"/>
      </w:pPr>
      <w:r>
        <w:t xml:space="preserve">2.6 Modalitas Kepastian (Epistemik)</w:t>
      </w:r>
    </w:p>
    <w:p>
      <w:pPr>
        <w:pStyle w:val="Normal"/>
      </w:pPr>
      <w:r>
        <w:t xml:space="preserve">Klaim disajikan sebagai kebenaran mapan, memperkecil ruang bantahan.</w:t>
      </w:r>
    </w:p>
    <w:p>
      <w:pPr>
        <w:pStyle w:val="Quote"/>
      </w:pPr>
      <w:r>
        <w:t xml:space="preserve">“…tidak dapat disangkal, sepanjang sejarah kelihatan kepada kita…”; “…terang benar, apabila seorang Asia modern… mempertunjukkan tari-tarian itu…”; “…maka jelaslah bahwa soal nilai-nilai tradisi kebudayaan kita itu lain sekali aspeknya.”</w:t>
      </w:r>
    </w:p>
    <w:p>
      <w:pPr>
        <w:pStyle w:val="Heading2"/>
      </w:pPr>
      <w:r>
        <w:t xml:space="preserve">2.7 Modalitas Rendah pada Ranah Tradisi</w:t>
      </w:r>
    </w:p>
    <w:p>
      <w:pPr>
        <w:pStyle w:val="Normal"/>
      </w:pPr>
      <w:r>
        <w:t xml:space="preserve">Berbeda dari modernitas yang “harus/pasti”, nilai tradisi diberi modalitas kemungkinan — menandai statusnya relatif dan dapat diubah.</w:t>
      </w:r>
    </w:p>
    <w:p>
      <w:pPr>
        <w:pStyle w:val="Quote"/>
      </w:pPr>
      <w:r>
        <w:t xml:space="preserve">“…yang dahulu suci mungkin sekarang menjadi profan dan yang dahulu profan mungkin sekarang menjadi suci.”</w:t>
      </w:r>
    </w:p>
    <w:p>
      <w:pPr>
        <w:pStyle w:val="Heading2"/>
      </w:pPr>
      <w:r>
        <w:t xml:space="preserve">2.8 Kata Ganti: kita / saya / mereka / ia</w:t>
      </w:r>
    </w:p>
    <w:p>
      <w:pPr>
        <w:pStyle w:val="ListBullet"/>
      </w:pPr>
      <w:r>
        <w:rPr>
          <w:b/>
        </w:rPr>
        <w:t xml:space="preserve">“kita” inklusif</w:t>
      </w:r>
      <w:r>
        <w:t xml:space="preserve"> (dominan) merangkul pembaca ke posisi penutur: “kita penduduk negara-negara baru di Asia”, “kebudayaan kita”.</w:t>
      </w:r>
    </w:p>
    <w:p>
      <w:pPr>
        <w:pStyle w:val="ListBullet"/>
      </w:pPr>
      <w:r>
        <w:rPr>
          <w:b/>
        </w:rPr>
        <w:t xml:space="preserve">Pergeseran “kita↔mereka”:</w:t>
      </w:r>
      <w:r>
        <w:t xml:space="preserve"> rakyat dijadikan pihak ketiga: “…sukar dipahami oleh rakyat kita yang banyak… karena kepada mereka belum sampai nilai-nilai dunia modern.”</w:t>
      </w:r>
    </w:p>
    <w:p>
      <w:pPr>
        <w:pStyle w:val="ListBullet"/>
      </w:pPr>
      <w:r>
        <w:rPr>
          <w:b/>
        </w:rPr>
        <w:t xml:space="preserve">“saya”</w:t>
      </w:r>
      <w:r>
        <w:t xml:space="preserve"> menegaskan ethos &amp; keberanian: “Tentang hal yang akhir inilah saya hendak berbicara…”; “Saya tahu bahwa… banyak orang Asia yang akan berkecil hati kepada saya; tetapi risiko itu saya terima…”</w:t>
      </w:r>
    </w:p>
    <w:p>
      <w:pPr>
        <w:pStyle w:val="ListBullet"/>
      </w:pPr>
      <w:r>
        <w:rPr>
          <w:b/>
        </w:rPr>
        <w:t xml:space="preserve">“ia”</w:t>
      </w:r>
      <w:r>
        <w:t xml:space="preserve"> generik untuk kaum terpelajar sebagai tipe ideal: “…ia mempunyai suatu kewajiban, yaitu mendorong dan memimpin masyarakat…”</w:t>
      </w:r>
    </w:p>
    <w:p>
      <w:pPr>
        <w:pStyle w:val="Heading2"/>
      </w:pPr>
      <w:r>
        <w:t xml:space="preserve">2.9 Mood: Deklaratif dan Hortatif</w:t>
      </w:r>
    </w:p>
    <w:p>
      <w:pPr>
        <w:pStyle w:val="Normal"/>
      </w:pPr>
      <w:r>
        <w:t xml:space="preserve">Mayoritas klausa deklaratif (penutur = pemberi pengetahuan); pada titik kunci muncul ajakan hortatif yang menuntut tindakan kolektif.</w:t>
      </w:r>
    </w:p>
    <w:p>
      <w:pPr>
        <w:pStyle w:val="Quote"/>
      </w:pPr>
      <w:r>
        <w:t xml:space="preserve">“Hendaklah kita sadari bahwa pandangan sejarah manusia menurut garis kebangsaan… adalah suatu pandangan sejarah yang sempit…”</w:t>
      </w:r>
    </w:p>
    <w:p>
      <w:pPr>
        <w:pStyle w:val="Heading1"/>
      </w:pPr>
      <w:r>
        <w:t xml:space="preserve">BAGIAN III — STRUKTUR TEKS &amp; KOHESI (Nilai Tekstual)</w:t>
      </w:r>
    </w:p>
    <w:p>
      <w:pPr>
        <w:pStyle w:val="Heading2"/>
      </w:pPr>
      <w:r>
        <w:t xml:space="preserve">3.1 Konjungsi Kausal (Penalaran Sebab-Akibat)</w:t>
      </w:r>
    </w:p>
    <w:p>
      <w:pPr>
        <w:pStyle w:val="Normal"/>
      </w:pPr>
      <w:r>
        <w:t xml:space="preserve">Jalinan kausal padat membangun kesan argumen yang tak terbantah dan menaturalisasi tesis modernis.</w:t>
      </w:r>
    </w:p>
    <w:p>
      <w:pPr>
        <w:pStyle w:val="Quote"/>
      </w:pPr>
      <w:r>
        <w:t xml:space="preserve">Penanda: “oleh karena”, “sebab”, “berhubung dengan itu”, “sehingga”, “dengan demikian”, “demikianlah”, “maka”, “karena”.</w:t>
      </w:r>
    </w:p>
    <w:p>
      <w:pPr>
        <w:pStyle w:val="Quote"/>
      </w:pPr>
      <w:r>
        <w:t xml:space="preserve">“…ada suatu hubungan dialektik yang tidak berhenti-henti antara materi dengan rohani.” — klaim kausal pamungkas yang menopang keniscayaan kemajuan.</w:t>
      </w:r>
    </w:p>
    <w:p>
      <w:pPr>
        <w:pStyle w:val="Heading2"/>
      </w:pPr>
      <w:r>
        <w:t xml:space="preserve">3.2 Konjungsi Adversatif &amp; Kondisional</w:t>
      </w:r>
    </w:p>
    <w:p>
      <w:pPr>
        <w:pStyle w:val="Quote"/>
      </w:pPr>
      <w:r>
        <w:t xml:space="preserve">Adversatif (mengoreksi posisi tradisi): “…sangat berguna bagi kita, tetapi sebaliknya harus kita ingat bahwa… bagi kita tidak ada jalan mundur.”</w:t>
      </w:r>
    </w:p>
    <w:p>
      <w:pPr>
        <w:pStyle w:val="Quote"/>
      </w:pPr>
      <w:r>
        <w:t xml:space="preserve">Kondisional (mensyaratkan sikap modern): “Hanya apabila kita dapat melepaskan diri kita dari memutlakkan pertentangan itu, akan dapatlah kita kesadaran yang sebenarnya…”</w:t>
      </w:r>
    </w:p>
    <w:p>
      <w:pPr>
        <w:pStyle w:val="Heading2"/>
      </w:pPr>
      <w:r>
        <w:t xml:space="preserve">3.3 Referensi / Pengacuan</w:t>
      </w:r>
    </w:p>
    <w:p>
      <w:pPr>
        <w:pStyle w:val="Normal"/>
      </w:pPr>
      <w:r>
        <w:t xml:space="preserve">Demonstratif dan klitik merajut kepaduan sekaligus menandai fokus.</w:t>
      </w:r>
    </w:p>
    <w:p>
      <w:pPr>
        <w:pStyle w:val="Quote"/>
      </w:pPr>
      <w:r>
        <w:t xml:space="preserve">“…kecenderungan itu tidaklah berkurang…”; “Tentang hal yang akhir inilah saya hendak berbicara…”; “Dualisme kedudukannya inilah yang membuat kedudukan kaum terpelajar Asia itu serba sukar.”</w:t>
      </w:r>
    </w:p>
    <w:p>
      <w:pPr>
        <w:pStyle w:val="Heading2"/>
      </w:pPr>
      <w:r>
        <w:t xml:space="preserve">3.4 Struktur Makro / Alur Argumen</w:t>
      </w:r>
    </w:p>
    <w:p>
      <w:pPr>
        <w:pStyle w:val="Normal"/>
      </w:pPr>
      <w:r>
        <w:t xml:space="preserve">Pengorganisasian teks membingkai modernitas sebagai puncak sejarah dan mendemosikan tradisi:</w:t>
      </w:r>
    </w:p>
    <w:p>
      <w:pPr>
        <w:pStyle w:val="ListBullet"/>
      </w:pPr>
      <w:r>
        <w:rPr>
          <w:b/>
        </w:rPr>
        <w:t xml:space="preserve">(1) Pembuka skala global-krisis</w:t>
      </w:r>
      <w:r>
        <w:t xml:space="preserve"> — perang dunia &amp; kemajuan ilmu-teknik → membangun urgensi dan otoritas.</w:t>
      </w:r>
    </w:p>
    <w:p>
      <w:pPr>
        <w:pStyle w:val="ListBullet"/>
      </w:pPr>
      <w:r>
        <w:rPr>
          <w:b/>
        </w:rPr>
        <w:t xml:space="preserve">(2) Penyempitan ke Asia &amp; “kita”</w:t>
      </w:r>
      <w:r>
        <w:t xml:space="preserve"> — dilema kaum terpelajar (“dua jenis krisis sekaligus”).</w:t>
      </w:r>
    </w:p>
    <w:p>
      <w:pPr>
        <w:pStyle w:val="ListBullet"/>
      </w:pPr>
      <w:r>
        <w:rPr>
          <w:b/>
        </w:rPr>
        <w:t xml:space="preserve">(3) Narasi sejarah panjang</w:t>
      </w:r>
      <w:r>
        <w:t xml:space="preserve"> — 6.000 tahun, “lompatan” abad ke-5 SM, Barat sebagai sintesis universal yang menyerap semua kebudayaan.</w:t>
      </w:r>
    </w:p>
    <w:p>
      <w:pPr>
        <w:pStyle w:val="ListBullet"/>
      </w:pPr>
      <w:r>
        <w:rPr>
          <w:b/>
        </w:rPr>
        <w:t xml:space="preserve">(4) Tesis</w:t>
      </w:r>
      <w:r>
        <w:t xml:space="preserve"> — “tugas kita yang pertama sekali bukanlah… mempertahankan pusaka nenek moyang… tetapi… menjelmakan hidup kita… dalam dunia yang baru.”</w:t>
      </w:r>
    </w:p>
    <w:p>
      <w:pPr>
        <w:pStyle w:val="ListBullet"/>
      </w:pPr>
      <w:r>
        <w:rPr>
          <w:b/>
        </w:rPr>
        <w:t xml:space="preserve">(5) Penutup visioner</w:t>
      </w:r>
      <w:r>
        <w:t xml:space="preserve"> — “nilai-nilai Asia yang luhur itu… akan terangkatlah dan tercampurlah… menjadi nilai perikemanusiaan.”</w:t>
      </w:r>
    </w:p>
    <w:p>
      <w:pPr>
        <w:pStyle w:val="Normal"/>
      </w:pPr>
      <w:r>
        <w:t xml:space="preserve">Yang </w:t>
      </w:r>
      <w:r>
        <w:rPr>
          <w:b/>
        </w:rPr>
        <w:t xml:space="preserve">di-foreground-kan</w:t>
      </w:r>
      <w:r>
        <w:t xml:space="preserve">: “kemajuan”, “kaum terpelajar”, bingkai waktu/krisis. Yang </w:t>
      </w:r>
      <w:r>
        <w:rPr>
          <w:b/>
        </w:rPr>
        <w:t xml:space="preserve">di-background-kan</w:t>
      </w:r>
      <w:r>
        <w:t xml:space="preserve">: suara rakyat dan nilai tradisi (didemosikan menjadi “alat pendidikan”).</w:t>
      </w:r>
    </w:p>
    <w:p>
      <w:pPr>
        <w:pStyle w:val="Heading1"/>
      </w:pPr>
      <w:r>
        <w:t xml:space="preserve">BAGIAN IV — Sintesis: Representasi – Relasi – Identitas</w:t>
      </w:r>
    </w:p>
    <w:p>
      <w:pPr>
        <w:pStyle w:val="Normal"/>
      </w:pPr>
      <w:r>
        <w:rPr>
          <w:b/>
        </w:rPr>
        <w:t xml:space="preserve">Representasi (nilai eksperiensial).</w:t>
      </w:r>
      <w:r>
        <w:t xml:space="preserve"> Modernitas = kemajuan &amp; keniscayaan sejarah universal; tradisi = warisan defensif yang harus diseleksi; rakyat = pihak terbelakang, objek pengangkatan derajat. Direalisasikan lewat oposisi biner, diksi defisit/surplus, transitivitas, dan nominalisasi.</w:t>
      </w:r>
    </w:p>
    <w:p>
      <w:pPr>
        <w:pStyle w:val="Normal"/>
      </w:pPr>
      <w:r>
        <w:rPr>
          <w:b/>
        </w:rPr>
        <w:t xml:space="preserve">Relasi (nilai relasional).</w:t>
      </w:r>
      <w:r>
        <w:t xml:space="preserve"> Hierarki paternalistik: kaum terpelajar (subjek/pemimpin/penilai) di atas rakyat (objek/dipimpin). Direalisasikan lewat modalitas keharusan, pergeseran “kita↔mereka”, dan mood hortatif.</w:t>
      </w:r>
    </w:p>
    <w:p>
      <w:pPr>
        <w:pStyle w:val="Normal"/>
      </w:pPr>
      <w:r>
        <w:rPr>
          <w:b/>
        </w:rPr>
        <w:t xml:space="preserve">Identitas (nilai ekspresif).</w:t>
      </w:r>
      <w:r>
        <w:t xml:space="preserve"> Penutur = intelektual Asia modern: rasional, universalis, berani, “ahli waris yang sah dari seluruh kebudayaan dunia”. Direalisasikan lewat “saya”, modalitas epistemik tinggi, dan diksi progresif.</w:t>
      </w:r>
    </w:p>
    <w:p>
      <w:pPr>
        <w:pStyle w:val="Heading1"/>
      </w:pPr>
      <w:r>
        <w:t xml:space="preserve">BAGIAN V — Kesimpulan Dimensi Teks</w:t>
      </w:r>
    </w:p>
    <w:p>
      <w:pPr>
        <w:pStyle w:val="Normal"/>
      </w:pPr>
      <w:r>
        <w:t xml:space="preserve">Secara menyeluruh, pada dimensi teks esai ini </w:t>
      </w:r>
      <w:r>
        <w:rPr>
          <w:b/>
        </w:rPr>
        <w:t xml:space="preserve">melegitimasi proyek modernisasi, menaturalisasi otoritas kaum terpelajar, serta meminggirkan nilai tradisi dan memosisikan rakyat sebagai objek</w:t>
      </w:r>
      <w:r>
        <w:t xml:space="preserve">. Efek ideologis itu diproduksi secara berlapis dan konsisten oleh: (i) kosakata — oposisi biner, overwording “kemajuan”, diksi defisit/surplus, dan metafora penglihatan/pembebasan; (ii) tata bahasa — transitivitas Aktor(terpelajar)–Sasaran(rakyat/tradisi), nominalisasi &amp; pemasifan yang menghapus pelaku, polaritas negatif dan modalitas deontik-epistemik tinggi yang menutup alternatif, serta pergeseran kata ganti; dan (iii) struktur/kohesi — jalinan kausal dan struktur makro yang membingkai modernitas sebagai puncak sejarah. Temuan mikro-tekstual ini menjadi pijakan bagi analisis lanjutan pada dimensi praktik diskursif dan sosiokultural (relasi kuasa elite–massa; ideologi modernisme-universalis dalam wacana kebudayaan pascakolonial).</w:t>
      </w:r>
    </w:p>
    <w:p>
      <w:pPr>
        <w:pStyle w:val="Heading1"/>
      </w:pPr>
      <w:r>
        <w:t xml:space="preserve">Rujukan</w:t>
      </w:r>
    </w:p>
    <w:p>
      <w:pPr>
        <w:pStyle w:val="Normal"/>
      </w:pPr>
      <w:r>
        <w:t xml:space="preserve">Fairclough, N. (1989). Language and power. Longman.</w:t>
      </w:r>
    </w:p>
    <w:p>
      <w:pPr>
        <w:pStyle w:val="Normal"/>
      </w:pPr>
      <w:r>
        <w:t xml:space="preserve">Fairclough, N. (1992). Discourse and social change. Polity Press.</w:t>
      </w:r>
    </w:p>
    <w:p>
      <w:pPr>
        <w:pStyle w:val="Normal"/>
      </w:pPr>
      <w:r>
        <w:t xml:space="preserve">Fairclough, N. (1995). Critical discourse analysis: The critical study of language. Longman.</w:t>
      </w:r>
    </w:p>
    <w:p>
      <w:pPr>
        <w:pStyle w:val="Normal"/>
      </w:pPr>
      <w:r>
        <w:t xml:space="preserve">Catatan: Seluruh kutipan bukti diambil verbatim dari objek teks “Nilai Tradisi dan Nilai Modern dalam Kebudayaan Kita” (nilai_tradisi_modern.docx).</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jc w:val="both"/>
    </w:pPr>
  </w:style>
  <w:style w:type="paragraph" w:styleId="Title">
    <w:name w:val="Title"/>
    <w:pPr>
      <w:spacing w:after="120"/>
      <w:jc w:val="left"/>
    </w:pPr>
    <w:rPr>
      <w:b/>
      <w:sz w:val="38"/>
    </w:rPr>
  </w:style>
  <w:style w:type="paragraph" w:styleId="Subtitle">
    <w:name w:val="Subtitle"/>
    <w:pPr>
      <w:spacing w:after="240"/>
    </w:pPr>
    <w:rPr>
      <w:i/>
      <w:sz w:val="26"/>
    </w:rPr>
  </w:style>
  <w:style w:type="paragraph" w:styleId="Heading1">
    <w:name w:val="heading 1"/>
    <w:basedOn w:val="Normal"/>
    <w:pPr>
      <w:keepNext/>
      <w:spacing w:before="280" w:after="120"/>
      <w:jc w:val="left"/>
    </w:pPr>
    <w:rPr>
      <w:b/>
      <w:sz w:val="29"/>
    </w:rPr>
  </w:style>
  <w:style w:type="paragraph" w:styleId="Heading2">
    <w:name w:val="heading 2"/>
    <w:basedOn w:val="Normal"/>
    <w:pPr>
      <w:keepNext/>
      <w:spacing w:before="200" w:after="80"/>
      <w:jc w:val="left"/>
    </w:pPr>
    <w:rPr>
      <w:b/>
      <w:sz w:val="24"/>
    </w:rPr>
  </w:style>
  <w:style w:type="paragraph" w:styleId="Quote">
    <w:name w:val="Quote"/>
    <w:basedOn w:val="Normal"/>
    <w:pPr>
      <w:ind w:left="567"/>
      <w:spacing w:after="160"/>
    </w:pPr>
    <w:rPr>
      <w:i/>
    </w:rPr>
  </w:style>
  <w:style w:type="paragraph" w:styleId="ListBullet">
    <w:name w:val="List Bullet"/>
    <w:basedOn w:val="Normal"/>
    <w:pPr>
      <w:ind w:left="360" w:hanging="360"/>
      <w:spacing w:after="100"/>
      <w:jc w:val="left"/>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