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Analisis Tiga Metafungsi Linguistik Fungsional Sistemik (M. A. K. Halliday)</w:t>
      </w:r>
    </w:p>
    <w:p>
      <w:pPr>
        <w:pStyle w:val="Subtitle"/>
      </w:pPr>
      <w:r>
        <w:t xml:space="preserve">Objek Teks: “Nilai Tradisi dan Nilai Modern dalam Kebudayaan Kita”</w:t>
      </w:r>
    </w:p>
    <w:p>
      <w:pPr>
        <w:pStyle w:val="Normal"/>
      </w:pPr>
      <w:r>
        <w:t xml:space="preserve">Linguistik Fungsional Sistemik (LFS) memandang bahasa sebagai sumber daya pembuat makna yang secara </w:t>
      </w:r>
      <w:r>
        <w:rPr>
          <w:b/>
        </w:rPr>
        <w:t xml:space="preserve">serentak</w:t>
      </w:r>
      <w:r>
        <w:t xml:space="preserve"> menjalankan tiga metafungsi dalam setiap klausa: </w:t>
      </w:r>
      <w:r>
        <w:rPr>
          <w:b/>
        </w:rPr>
        <w:t xml:space="preserve">ideasional</w:t>
      </w:r>
      <w:r>
        <w:t xml:space="preserve"> (merepresentasikan pengalaman), </w:t>
      </w:r>
      <w:r>
        <w:rPr>
          <w:b/>
        </w:rPr>
        <w:t xml:space="preserve">interpersonal</w:t>
      </w:r>
      <w:r>
        <w:t xml:space="preserve"> (menjalin relasi sosial), dan </w:t>
      </w:r>
      <w:r>
        <w:rPr>
          <w:b/>
        </w:rPr>
        <w:t xml:space="preserve">tekstual</w:t>
      </w:r>
      <w:r>
        <w:t xml:space="preserve"> (menyusun pesan menjadi teks yang runtut) (Halliday, 1994; Halliday &amp; Matthiessen, 2014). Analisis berikut menerapkan ketiga metafungsi tersebut pada esai objek, dengan bukti kutipan verbatim dari teks.</w:t>
      </w:r>
    </w:p>
    <w:p>
      <w:pPr>
        <w:pStyle w:val="Heading1"/>
      </w:pPr>
      <w:r>
        <w:t xml:space="preserve">A. Metafungsi Ideasional — Sistem Transitivitas</w:t>
      </w:r>
    </w:p>
    <w:p>
      <w:pPr>
        <w:pStyle w:val="Normal"/>
      </w:pPr>
      <w:r>
        <w:t xml:space="preserve">Metafungsi ideasional direalisasikan melalui </w:t>
      </w:r>
      <w:r>
        <w:rPr>
          <w:b/>
        </w:rPr>
        <w:t xml:space="preserve">sistem transitivitas</w:t>
      </w:r>
      <w:r>
        <w:t xml:space="preserve">, yang memetakan pengalaman ke dalam </w:t>
      </w:r>
      <w:r>
        <w:rPr>
          <w:b/>
        </w:rPr>
        <w:t xml:space="preserve">proses</w:t>
      </w:r>
      <w:r>
        <w:t xml:space="preserve"> (verba), </w:t>
      </w:r>
      <w:r>
        <w:rPr>
          <w:b/>
        </w:rPr>
        <w:t xml:space="preserve">partisipan</w:t>
      </w:r>
      <w:r>
        <w:t xml:space="preserve"> (yang terlibat), dan </w:t>
      </w:r>
      <w:r>
        <w:rPr>
          <w:b/>
        </w:rPr>
        <w:t xml:space="preserve">sirkumstan</w:t>
      </w:r>
      <w:r>
        <w:t xml:space="preserve"> (keterangan). Analisis jenis proses menunjukkan cara penulis mengonstruksi realitas.</w:t>
      </w:r>
    </w:p>
    <w:p>
      <w:pPr>
        <w:pStyle w:val="Heading2"/>
      </w:pPr>
      <w:r>
        <w:t xml:space="preserve">1. Proses Material (tindakan/kejadian)</w:t>
      </w:r>
    </w:p>
    <w:p>
      <w:pPr>
        <w:pStyle w:val="Normal"/>
      </w:pPr>
      <w:r>
        <w:t xml:space="preserve">Proses material mendominasi bagian argumentatif teks dan hampir selalu menempatkan </w:t>
      </w:r>
      <w:r>
        <w:rPr>
          <w:b/>
        </w:rPr>
        <w:t xml:space="preserve">kaum terpelajar (“kita”) sebagai Aktor</w:t>
      </w:r>
      <w:r>
        <w:t xml:space="preserve"> serta </w:t>
      </w:r>
      <w:r>
        <w:rPr>
          <w:b/>
        </w:rPr>
        <w:t xml:space="preserve">rakyat/tradisi sebagai Sasaran (Goal)</w:t>
      </w:r>
      <w:r>
        <w:t xml:space="preserve">.</w:t>
      </w:r>
    </w:p>
    <w:p>
      <w:pPr>
        <w:pStyle w:val="Quote"/>
      </w:pPr>
      <w:r>
        <w:t xml:space="preserve">“…mengangkat seluruh derajat rakyat kita ke tingkat kemajuan zaman modern itu.” → Aktor: (kita); Proses material: mengangkat; Sasaran: seluruh derajat rakyat kita.</w:t>
      </w:r>
    </w:p>
    <w:p>
      <w:pPr>
        <w:pStyle w:val="Quote"/>
      </w:pPr>
      <w:r>
        <w:t xml:space="preserve">“Kita mesti menguasai seluruh ilmu dan teknik modern…” → Aktor: Kita; Proses material: menguasai; Sasaran: seluruh ilmu dan teknik modern.</w:t>
      </w:r>
    </w:p>
    <w:p>
      <w:pPr>
        <w:pStyle w:val="ListBullet"/>
      </w:pPr>
      <w:r>
        <w:t xml:space="preserve">Verba material kunci: </w:t>
      </w:r>
      <w:r>
        <w:rPr>
          <w:b/>
        </w:rPr>
        <w:t xml:space="preserve">menguasai, mengangkat, mengeluarkan, membawa, mendorong, memimpin, menembus, membangun</w:t>
      </w:r>
      <w:r>
        <w:t xml:space="preserve">.</w:t>
      </w:r>
    </w:p>
    <w:p>
      <w:pPr>
        <w:pStyle w:val="Heading2"/>
      </w:pPr>
      <w:r>
        <w:t xml:space="preserve">2. Proses Relasional (identifikasi &amp; atribusi)</w:t>
      </w:r>
    </w:p>
    <w:p>
      <w:pPr>
        <w:pStyle w:val="Normal"/>
      </w:pPr>
      <w:r>
        <w:t xml:space="preserve">Proses relasional (menggunakan “adalah/menjadi/mempunyai”) dipakai untuk </w:t>
      </w:r>
      <w:r>
        <w:rPr>
          <w:b/>
        </w:rPr>
        <w:t xml:space="preserve">mendefinisikan dunia</w:t>
      </w:r>
      <w:r>
        <w:t xml:space="preserve"> — menetapkan apa itu sesuatu. Melalui proses ini penulis menanamkan klaim sebagai fakta.</w:t>
      </w:r>
    </w:p>
    <w:p>
      <w:pPr>
        <w:pStyle w:val="Quote"/>
      </w:pPr>
      <w:r>
        <w:t xml:space="preserve">“…mereka adalah ahli waris yang sah dari seluruh kebudayaan dunia.” → Token: mereka; Proses relasional identifikasi: adalah; Nilai (Value): ahli waris yang sah…</w:t>
      </w:r>
    </w:p>
    <w:p>
      <w:pPr>
        <w:pStyle w:val="Quote"/>
      </w:pPr>
      <w:r>
        <w:t xml:space="preserve">“…adalah suatu pandangan sejarah yang sempit…” → atribusi negatif terhadap pandangan sejarah kebangsaan (Carrier–Atribut).</w:t>
      </w:r>
    </w:p>
    <w:p>
      <w:pPr>
        <w:pStyle w:val="Heading2"/>
      </w:pPr>
      <w:r>
        <w:t xml:space="preserve">3. Proses Mental (kognisi, afeksi, persepsi)</w:t>
      </w:r>
    </w:p>
    <w:p>
      <w:pPr>
        <w:pStyle w:val="Normal"/>
      </w:pPr>
      <w:r>
        <w:t xml:space="preserve">Proses mental menghadirkan kehidupan batin partisipan — terutama kegelisahan dan kehendak kaum terpelajar.</w:t>
      </w:r>
    </w:p>
    <w:p>
      <w:pPr>
        <w:pStyle w:val="Quote"/>
      </w:pPr>
      <w:r>
        <w:t xml:space="preserve">“…kaum terpelajar yang pusing dan lelah menghadapi kekacauan… tertarik untuk kembali kepada ketenangan masyarakat dan kebudayaan lama…” → Senser: kaum terpelajar; Proses mental afektif: tertarik; Fenomenon: kembali… .</w:t>
      </w:r>
    </w:p>
    <w:p>
      <w:pPr>
        <w:pStyle w:val="ListBullet"/>
      </w:pPr>
      <w:r>
        <w:t xml:space="preserve">Verba mental kunci: </w:t>
      </w:r>
      <w:r>
        <w:rPr>
          <w:b/>
        </w:rPr>
        <w:t xml:space="preserve">memikirkan, menyadari, mengerti, merasakan, ingin, cemas, tertarik</w:t>
      </w:r>
      <w:r>
        <w:t xml:space="preserve">.</w:t>
      </w:r>
    </w:p>
    <w:p>
      <w:pPr>
        <w:pStyle w:val="Heading2"/>
      </w:pPr>
      <w:r>
        <w:t xml:space="preserve">4. Proses Verbal dan Eksistensial</w:t>
      </w:r>
    </w:p>
    <w:p>
      <w:pPr>
        <w:pStyle w:val="Normal"/>
      </w:pPr>
      <w:r>
        <w:t xml:space="preserve">Proses </w:t>
      </w:r>
      <w:r>
        <w:rPr>
          <w:b/>
        </w:rPr>
        <w:t xml:space="preserve">verbal</w:t>
      </w:r>
      <w:r>
        <w:t xml:space="preserve"> menandai tindak berbicara/menyatakan (“berkata”, “mengatakan”, “mengemukakan”, “mengakui”, “berbicara”), yang dipakai penulis untuk memposisikan diri sebagai penutur otoritatif (“Tentang hal yang akhir inilah </w:t>
      </w:r>
      <w:r>
        <w:rPr>
          <w:b/>
        </w:rPr>
        <w:t xml:space="preserve">saya hendak berbicara</w:t>
      </w:r>
      <w:r>
        <w:t xml:space="preserve">…”). Proses </w:t>
      </w:r>
      <w:r>
        <w:rPr>
          <w:b/>
        </w:rPr>
        <w:t xml:space="preserve">eksistensial</w:t>
      </w:r>
      <w:r>
        <w:t xml:space="preserve"> (“ada kecenderungan…”, “timbullah aliran-aliran filsafat…”) menghadirkan fenomena sejarah seolah muncul dengan sendirinya.</w:t>
      </w:r>
    </w:p>
    <w:p>
      <w:pPr>
        <w:pStyle w:val="Heading2"/>
      </w:pPr>
      <w:r>
        <w:t xml:space="preserve">5. Sirkumstan</w:t>
      </w:r>
    </w:p>
    <w:p>
      <w:pPr>
        <w:pStyle w:val="Normal"/>
      </w:pPr>
      <w:r>
        <w:t xml:space="preserve">Sirkumstan </w:t>
      </w:r>
      <w:r>
        <w:rPr>
          <w:b/>
        </w:rPr>
        <w:t xml:space="preserve">waktu</w:t>
      </w:r>
      <w:r>
        <w:t xml:space="preserve"> sangat menonjol dan berskala besar (“empat abad yang akhir”, “abad kelima sebelum Masehi”, “6.000 tahun”, “tiga ribu tahun sekaligus”), menempatkan argumen dalam bingkai sejarah panjang yang memperkuat kesan keniscayaan. Sirkumstan </w:t>
      </w:r>
      <w:r>
        <w:rPr>
          <w:b/>
        </w:rPr>
        <w:t xml:space="preserve">cara</w:t>
      </w:r>
      <w:r>
        <w:t xml:space="preserve"> dan </w:t>
      </w:r>
      <w:r>
        <w:rPr>
          <w:b/>
        </w:rPr>
        <w:t xml:space="preserve">sebab</w:t>
      </w:r>
      <w:r>
        <w:t xml:space="preserve"> (“dengan memakai alat dunia modern”, “oleh kemajuan ilmu dan teknik”) menautkan tindakan dengan modernitas.</w:t>
      </w:r>
    </w:p>
    <w:p>
      <w:pPr>
        <w:pStyle w:val="Normal"/>
      </w:pPr>
      <w:r>
        <w:rPr>
          <w:b/>
        </w:rPr>
        <w:t xml:space="preserve">Temuan ideasional:</w:t>
      </w:r>
      <w:r>
        <w:t xml:space="preserve"> realitas dikonstruksi melalui perpaduan </w:t>
      </w:r>
      <w:r>
        <w:rPr>
          <w:b/>
        </w:rPr>
        <w:t xml:space="preserve">proses relasional</w:t>
      </w:r>
      <w:r>
        <w:t xml:space="preserve"> (mendefinisikan dunia/nilai) dan </w:t>
      </w:r>
      <w:r>
        <w:rPr>
          <w:b/>
        </w:rPr>
        <w:t xml:space="preserve">proses material</w:t>
      </w:r>
      <w:r>
        <w:t xml:space="preserve"> (menetapkan program tindakan), dengan kaum terpelajar sebagai Aktor utama dan rakyat/tradisi sebagai Sasaran.</w:t>
      </w:r>
    </w:p>
    <w:p>
      <w:pPr>
        <w:pStyle w:val="Heading1"/>
      </w:pPr>
      <w:r>
        <w:t xml:space="preserve">B. Metafungsi Interpersonal — Mood dan Modalitas</w:t>
      </w:r>
    </w:p>
    <w:p>
      <w:pPr>
        <w:pStyle w:val="Normal"/>
      </w:pPr>
      <w:r>
        <w:t xml:space="preserve">Metafungsi interpersonal direalisasikan melalui sistem </w:t>
      </w:r>
      <w:r>
        <w:rPr>
          <w:b/>
        </w:rPr>
        <w:t xml:space="preserve">MOOD</w:t>
      </w:r>
      <w:r>
        <w:t xml:space="preserve"> (jenis klausa sebagai tindak tutur) dan </w:t>
      </w:r>
      <w:r>
        <w:rPr>
          <w:b/>
        </w:rPr>
        <w:t xml:space="preserve">MODALITAS</w:t>
      </w:r>
      <w:r>
        <w:t xml:space="preserve"> (derajat kepastian/keharusan), yang menata relasi antara penutur dan pembaca.</w:t>
      </w:r>
    </w:p>
    <w:p>
      <w:pPr>
        <w:pStyle w:val="Heading2"/>
      </w:pPr>
      <w:r>
        <w:t xml:space="preserve">1. Sistem Mood</w:t>
      </w:r>
    </w:p>
    <w:p>
      <w:pPr>
        <w:pStyle w:val="Normal"/>
      </w:pPr>
      <w:r>
        <w:t xml:space="preserve">Klausa didominasi </w:t>
      </w:r>
      <w:r>
        <w:rPr>
          <w:b/>
        </w:rPr>
        <w:t xml:space="preserve">mood deklaratif</w:t>
      </w:r>
      <w:r>
        <w:t xml:space="preserve">: penutur berperan sebagai </w:t>
      </w:r>
      <w:r>
        <w:rPr>
          <w:b/>
        </w:rPr>
        <w:t xml:space="preserve">pemberi informasi/pengetahuan</w:t>
      </w:r>
      <w:r>
        <w:t xml:space="preserve">, dan pembaca sebagai penerima. Namun pada momen-momen kunci muncul </w:t>
      </w:r>
      <w:r>
        <w:rPr>
          <w:b/>
        </w:rPr>
        <w:t xml:space="preserve">klausa proposal/hortatif</w:t>
      </w:r>
      <w:r>
        <w:t xml:space="preserve"> yang menuntut tindakan bersama.</w:t>
      </w:r>
    </w:p>
    <w:p>
      <w:pPr>
        <w:pStyle w:val="Quote"/>
      </w:pPr>
      <w:r>
        <w:t xml:space="preserve">“Hendaklah kita sadari bahwa pandangan sejarah manusia menurut garis kebangsaan… adalah suatu pandangan sejarah yang sempit…”</w:t>
      </w:r>
    </w:p>
    <w:p>
      <w:pPr>
        <w:pStyle w:val="Quote"/>
      </w:pPr>
      <w:r>
        <w:t xml:space="preserve">“…mestilah kita berani melepaskan sejarah bangsa-bangsa maupun negara-negara satu persatu…”</w:t>
      </w:r>
    </w:p>
    <w:p>
      <w:pPr>
        <w:pStyle w:val="Heading2"/>
      </w:pPr>
      <w:r>
        <w:t xml:space="preserve">2. Modalitas</w:t>
      </w:r>
    </w:p>
    <w:p>
      <w:pPr>
        <w:pStyle w:val="Normal"/>
      </w:pPr>
      <w:r>
        <w:t xml:space="preserve">Modalitas terbagi dua. </w:t>
      </w:r>
      <w:r>
        <w:rPr>
          <w:b/>
        </w:rPr>
        <w:t xml:space="preserve">Modulasi</w:t>
      </w:r>
      <w:r>
        <w:t xml:space="preserve"> (keharusan/kecenderungan) tampil dengan derajat </w:t>
      </w:r>
      <w:r>
        <w:rPr>
          <w:b/>
        </w:rPr>
        <w:t xml:space="preserve">sangat tinggi</w:t>
      </w:r>
      <w:r>
        <w:t xml:space="preserve">, menegaskan kewajiban dan menutup alternatif; </w:t>
      </w:r>
      <w:r>
        <w:rPr>
          <w:b/>
        </w:rPr>
        <w:t xml:space="preserve">modalisasi</w:t>
      </w:r>
      <w:r>
        <w:t xml:space="preserve"> (kemungkinan/kelaziman) muncul lebih rendah, khususnya saat membicarakan nilai tradisi.</w:t>
      </w:r>
    </w:p>
    <w:p>
      <w:pPr>
        <w:pStyle w:val="ListBullet"/>
      </w:pPr>
      <w:r>
        <w:rPr>
          <w:b/>
        </w:rPr>
        <w:t xml:space="preserve">Modulasi tinggi:</w:t>
      </w:r>
      <w:r>
        <w:t xml:space="preserve"> “harus”, “mesti”, “tidak boleh tidak”, “tidak dapat tidak”, “berkewajiban”, “selayaknya”, “semestinya”.</w:t>
      </w:r>
    </w:p>
    <w:p>
      <w:pPr>
        <w:pStyle w:val="ListBullet"/>
      </w:pPr>
      <w:r>
        <w:rPr>
          <w:b/>
        </w:rPr>
        <w:t xml:space="preserve">Modalisasi:</w:t>
      </w:r>
      <w:r>
        <w:t xml:space="preserve"> “mungkin”, “boleh dikatakan”, “pada umumnya”, “sering”.</w:t>
      </w:r>
    </w:p>
    <w:p>
      <w:pPr>
        <w:pStyle w:val="Quote"/>
      </w:pPr>
      <w:r>
        <w:t xml:space="preserve">“…tidak boleh tidak adalah secepat-cepatnya membawanya ke dalam kemajuan dunia modern yang luas.” (modulasi keharusan maksimal)</w:t>
      </w:r>
    </w:p>
    <w:p>
      <w:pPr>
        <w:pStyle w:val="Quote"/>
      </w:pPr>
      <w:r>
        <w:t xml:space="preserve">“…yang dahulu suci mungkin sekarang menjadi profan…” (modalisasi kemungkinan pada ranah tradisi)</w:t>
      </w:r>
    </w:p>
    <w:p>
      <w:pPr>
        <w:pStyle w:val="Heading2"/>
      </w:pPr>
      <w:r>
        <w:t xml:space="preserve">3. Sikap (Appraisal) dan Persona</w:t>
      </w:r>
    </w:p>
    <w:p>
      <w:pPr>
        <w:pStyle w:val="Normal"/>
      </w:pPr>
      <w:r>
        <w:t xml:space="preserve">Secara evaluatif, leksis bermuatan </w:t>
      </w:r>
      <w:r>
        <w:rPr>
          <w:b/>
        </w:rPr>
        <w:t xml:space="preserve">positif</w:t>
      </w:r>
      <w:r>
        <w:t xml:space="preserve"> dilekatkan pada kutub modern (“maju”, “luhur”, “rasional”, “universal”) dan </w:t>
      </w:r>
      <w:r>
        <w:rPr>
          <w:b/>
        </w:rPr>
        <w:t xml:space="preserve">negatif</w:t>
      </w:r>
      <w:r>
        <w:t xml:space="preserve"> pada kutub tradisi/rakyat (“terbelakang”, “kolot”, “primitif”). Persona </w:t>
      </w:r>
      <w:r>
        <w:rPr>
          <w:b/>
        </w:rPr>
        <w:t xml:space="preserve">“kita” inklusif</w:t>
      </w:r>
      <w:r>
        <w:t xml:space="preserve"> membangun solidaritas dan menyeret pembaca ke posisi penutur, sedangkan </w:t>
      </w:r>
      <w:r>
        <w:rPr>
          <w:b/>
        </w:rPr>
        <w:t xml:space="preserve">“saya”</w:t>
      </w:r>
      <w:r>
        <w:t xml:space="preserve"> menegaskan tanggung jawab dan keberanian personal (“…risiko itu </w:t>
      </w:r>
      <w:r>
        <w:rPr>
          <w:b/>
        </w:rPr>
        <w:t xml:space="preserve">saya terima</w:t>
      </w:r>
      <w:r>
        <w:t xml:space="preserve">…”).</w:t>
      </w:r>
    </w:p>
    <w:p>
      <w:pPr>
        <w:pStyle w:val="Normal"/>
      </w:pPr>
      <w:r>
        <w:rPr>
          <w:b/>
        </w:rPr>
        <w:t xml:space="preserve">Temuan interpersonal:</w:t>
      </w:r>
      <w:r>
        <w:t xml:space="preserve"> penutur memposisikan diri sebagai </w:t>
      </w:r>
      <w:r>
        <w:rPr>
          <w:b/>
        </w:rPr>
        <w:t xml:space="preserve">otoritas pemberi pengetahuan sekaligus penetap kewajiban</w:t>
      </w:r>
      <w:r>
        <w:t xml:space="preserve">; relasi dengan pembaca bersifat mengajak-menuntun, sementara relasi dengan rakyat bersifat direktif-paternalistik.</w:t>
      </w:r>
    </w:p>
    <w:p>
      <w:pPr>
        <w:pStyle w:val="Heading1"/>
      </w:pPr>
      <w:r>
        <w:t xml:space="preserve">C. Metafungsi Tekstual — Tema-Rema, Kohesi, dan Struktur Informasi</w:t>
      </w:r>
    </w:p>
    <w:p>
      <w:pPr>
        <w:pStyle w:val="Normal"/>
      </w:pPr>
      <w:r>
        <w:t xml:space="preserve">Metafungsi tekstual mengatur bagaimana klausa dikemas sebagai pesan: melalui struktur </w:t>
      </w:r>
      <w:r>
        <w:rPr>
          <w:b/>
        </w:rPr>
        <w:t xml:space="preserve">Tema–Rema</w:t>
      </w:r>
      <w:r>
        <w:t xml:space="preserve"> dan piranti </w:t>
      </w:r>
      <w:r>
        <w:rPr>
          <w:b/>
        </w:rPr>
        <w:t xml:space="preserve">kohesi</w:t>
      </w:r>
      <w:r>
        <w:t xml:space="preserve"> (Halliday &amp; Hasan, 1976).</w:t>
      </w:r>
    </w:p>
    <w:p>
      <w:pPr>
        <w:pStyle w:val="Heading2"/>
      </w:pPr>
      <w:r>
        <w:t xml:space="preserve">1. Struktur Tema–Rema</w:t>
      </w:r>
    </w:p>
    <w:p>
      <w:pPr>
        <w:pStyle w:val="Normal"/>
      </w:pPr>
      <w:r>
        <w:t xml:space="preserve">Banyak klausa menggunakan </w:t>
      </w:r>
      <w:r>
        <w:rPr>
          <w:b/>
        </w:rPr>
        <w:t xml:space="preserve">Tema bermarkah (marked Theme)</w:t>
      </w:r>
      <w:r>
        <w:t xml:space="preserve"> berupa sirkumstan waktu/kondisi yang diletakkan di depan sebagai titik tolak pesan, sehingga bingkai sejarah dan krisis selalu ditonjolkan lebih dulu.</w:t>
      </w:r>
    </w:p>
    <w:p>
      <w:pPr>
        <w:pStyle w:val="Quote"/>
      </w:pPr>
      <w:r>
        <w:t xml:space="preserve">“</w:t>
      </w:r>
      <w:r>
        <w:rPr>
          <w:b/>
        </w:rPr>
        <w:t xml:space="preserve">Pada zaman sekarang</w:t>
      </w:r>
      <w:r>
        <w:t xml:space="preserve">, ucapan seperti ini sudah hampir menjadi hal yang lumrah…” (Tema sirkumstansial waktu)</w:t>
      </w:r>
    </w:p>
    <w:p>
      <w:pPr>
        <w:pStyle w:val="Quote"/>
      </w:pPr>
      <w:r>
        <w:t xml:space="preserve">“</w:t>
      </w:r>
      <w:r>
        <w:rPr>
          <w:b/>
        </w:rPr>
        <w:t xml:space="preserve">Menghadapi krisis perikemanusiaan</w:t>
      </w:r>
      <w:r>
        <w:t xml:space="preserve">… mestilah kita berani melepaskan…” (Tema sirkumstansial + proposal)</w:t>
      </w:r>
    </w:p>
    <w:p>
      <w:pPr>
        <w:pStyle w:val="Normal"/>
      </w:pPr>
      <w:r>
        <w:t xml:space="preserve">Ketika Tema berupa partisipan, </w:t>
      </w:r>
      <w:r>
        <w:rPr>
          <w:b/>
        </w:rPr>
        <w:t xml:space="preserve">“kita”</w:t>
      </w:r>
      <w:r>
        <w:t xml:space="preserve"> kerap menjadi Tema topikal — menjadikan kolektif kaum terpelajar sebagai titik tolak pesan yang berulang.</w:t>
      </w:r>
    </w:p>
    <w:p>
      <w:pPr>
        <w:pStyle w:val="Heading2"/>
      </w:pPr>
      <w:r>
        <w:t xml:space="preserve">2. Kohesi Gramatikal</w:t>
      </w:r>
    </w:p>
    <w:p>
      <w:pPr>
        <w:pStyle w:val="ListBullet"/>
      </w:pPr>
      <w:r>
        <w:rPr>
          <w:b/>
        </w:rPr>
        <w:t xml:space="preserve">Referensi:</w:t>
      </w:r>
      <w:r>
        <w:t xml:space="preserve"> demonstratif “itu/ini” dan klitik “-nya” merajut rujukan antarkalimat (“kecenderungan </w:t>
      </w:r>
      <w:r>
        <w:rPr>
          <w:b/>
        </w:rPr>
        <w:t xml:space="preserve">itu</w:t>
      </w:r>
      <w:r>
        <w:t xml:space="preserve">”, “hal </w:t>
      </w:r>
      <w:r>
        <w:rPr>
          <w:b/>
        </w:rPr>
        <w:t xml:space="preserve">itu</w:t>
      </w:r>
      <w:r>
        <w:t xml:space="preserve"> disebabkan…”, “risiko </w:t>
      </w:r>
      <w:r>
        <w:rPr>
          <w:b/>
        </w:rPr>
        <w:t xml:space="preserve">itu</w:t>
      </w:r>
      <w:r>
        <w:t xml:space="preserve"> saya terima”).</w:t>
      </w:r>
    </w:p>
    <w:p>
      <w:pPr>
        <w:pStyle w:val="ListBullet"/>
      </w:pPr>
      <w:r>
        <w:rPr>
          <w:b/>
        </w:rPr>
        <w:t xml:space="preserve">Konjungsi:</w:t>
      </w:r>
      <w:r>
        <w:t xml:space="preserve"> dominan </w:t>
      </w:r>
      <w:r>
        <w:rPr>
          <w:b/>
        </w:rPr>
        <w:t xml:space="preserve">kausal</w:t>
      </w:r>
      <w:r>
        <w:t xml:space="preserve"> (“oleh karena”, “sebab”, “sehingga”, “berhubung dengan itu”), diselingi </w:t>
      </w:r>
      <w:r>
        <w:rPr>
          <w:b/>
        </w:rPr>
        <w:t xml:space="preserve">adversatif</w:t>
      </w:r>
      <w:r>
        <w:t xml:space="preserve"> (“tetapi”, “sebaliknya”) dan </w:t>
      </w:r>
      <w:r>
        <w:rPr>
          <w:b/>
        </w:rPr>
        <w:t xml:space="preserve">aditif</w:t>
      </w:r>
      <w:r>
        <w:t xml:space="preserve"> (“selain dari pada itu”, “dan”).</w:t>
      </w:r>
    </w:p>
    <w:p>
      <w:pPr>
        <w:pStyle w:val="Heading2"/>
      </w:pPr>
      <w:r>
        <w:t xml:space="preserve">3. Kohesi Leksikal</w:t>
      </w:r>
    </w:p>
    <w:p>
      <w:pPr>
        <w:pStyle w:val="Normal"/>
      </w:pPr>
      <w:r>
        <w:t xml:space="preserve">Kohesi leksikal dibangun lewat </w:t>
      </w:r>
      <w:r>
        <w:rPr>
          <w:b/>
        </w:rPr>
        <w:t xml:space="preserve">pengulangan</w:t>
      </w:r>
      <w:r>
        <w:t xml:space="preserve"> kata kunci (“kemajuan”, “kebudayaan”, “modern”, “nilai tradisi”, “kaum terpelajar”), </w:t>
      </w:r>
      <w:r>
        <w:rPr>
          <w:b/>
        </w:rPr>
        <w:t xml:space="preserve">sinonimi/antonimi</w:t>
      </w:r>
      <w:r>
        <w:t xml:space="preserve"> (modern↔tradisi, maju↔terbelakang), dan </w:t>
      </w:r>
      <w:r>
        <w:rPr>
          <w:b/>
        </w:rPr>
        <w:t xml:space="preserve">kolokasi</w:t>
      </w:r>
      <w:r>
        <w:t xml:space="preserve"> medan makna sejarah-kebudayaan. Pengulangan ini menjaga fokus tematik dan menandai butir-butir yang diperjuangkan penulis.</w:t>
      </w:r>
    </w:p>
    <w:p>
      <w:pPr>
        <w:pStyle w:val="Normal"/>
      </w:pPr>
      <w:r>
        <w:rPr>
          <w:b/>
        </w:rPr>
        <w:t xml:space="preserve">Temuan tekstual:</w:t>
      </w:r>
      <w:r>
        <w:t xml:space="preserve"> organisasi pesan secara konsisten </w:t>
      </w:r>
      <w:r>
        <w:rPr>
          <w:b/>
        </w:rPr>
        <w:t xml:space="preserve">men-foreground bingkai waktu/krisis dan kolektif “kita”</w:t>
      </w:r>
      <w:r>
        <w:t xml:space="preserve">, sementara jalinan kausal-leksikal membangun kepaduan argumen menuju simpulan modernis.</w:t>
      </w:r>
    </w:p>
    <w:p>
      <w:pPr>
        <w:pStyle w:val="Heading1"/>
      </w:pPr>
      <w:r>
        <w:t xml:space="preserve">D. Analisis Serempak Satu Klausa (Tiga Metafungsi)</w:t>
      </w:r>
    </w:p>
    <w:p>
      <w:pPr>
        <w:pStyle w:val="Normal"/>
      </w:pPr>
      <w:r>
        <w:t xml:space="preserve">Untuk menunjukkan ketiga metafungsi bekerja </w:t>
      </w:r>
      <w:r>
        <w:rPr>
          <w:b/>
        </w:rPr>
        <w:t xml:space="preserve">serentak</w:t>
      </w:r>
      <w:r>
        <w:t xml:space="preserve">, klausa berikut dibedah tiga lapis:</w:t>
      </w:r>
    </w:p>
    <w:p>
      <w:pPr>
        <w:pStyle w:val="Quote"/>
      </w:pPr>
      <w:r>
        <w:t xml:space="preserve">“Kita mesti menguasai seluruh ilmu dan teknik modern.”</w:t>
      </w:r>
    </w:p>
    <w:p>
      <w:pPr>
        <w:pStyle w:val="ListBullet"/>
      </w:pPr>
      <w:r>
        <w:rPr>
          <w:b/>
        </w:rPr>
        <w:t xml:space="preserve">Ideasional (transitivitas):</w:t>
      </w:r>
      <w:r>
        <w:t xml:space="preserve"> proses material *menguasai*; Aktor = *Kita*; Sasaran = *seluruh ilmu dan teknik modern*.</w:t>
      </w:r>
    </w:p>
    <w:p>
      <w:pPr>
        <w:pStyle w:val="ListBullet"/>
      </w:pPr>
      <w:r>
        <w:rPr>
          <w:b/>
        </w:rPr>
        <w:t xml:space="preserve">Interpersonal (mood &amp; modalitas):</w:t>
      </w:r>
      <w:r>
        <w:t xml:space="preserve"> mood deklaratif; modulasi keharusan tinggi *mesti*; persona inklusif *kita* (penutur + pembaca).</w:t>
      </w:r>
    </w:p>
    <w:p>
      <w:pPr>
        <w:pStyle w:val="ListBullet"/>
      </w:pPr>
      <w:r>
        <w:rPr>
          <w:b/>
        </w:rPr>
        <w:t xml:space="preserve">Tekstual (tema–rema):</w:t>
      </w:r>
      <w:r>
        <w:t xml:space="preserve"> Tema topikal *Kita* (titik tolak pesan); Rema *mesti menguasai seluruh ilmu dan teknik modern* (informasi baru).</w:t>
      </w:r>
    </w:p>
    <w:p>
      <w:pPr>
        <w:pStyle w:val="Heading1"/>
      </w:pPr>
      <w:r>
        <w:t xml:space="preserve">E. Kesimpulan</w:t>
      </w:r>
    </w:p>
    <w:p>
      <w:pPr>
        <w:pStyle w:val="Normal"/>
      </w:pPr>
      <w:r>
        <w:t xml:space="preserve">Ketiga metafungsi saling menguatkan dalam mewujudkan orientasi teks. Secara </w:t>
      </w:r>
      <w:r>
        <w:rPr>
          <w:b/>
        </w:rPr>
        <w:t xml:space="preserve">ideasional</w:t>
      </w:r>
      <w:r>
        <w:t xml:space="preserve">, transitivitas menempatkan kaum terpelajar sebagai Aktor dan rakyat/tradisi sebagai Sasaran, serta memakai proses relasional untuk mendefinisikan modernitas sebagai keniscayaan. Secara </w:t>
      </w:r>
      <w:r>
        <w:rPr>
          <w:b/>
        </w:rPr>
        <w:t xml:space="preserve">interpersonal</w:t>
      </w:r>
      <w:r>
        <w:t xml:space="preserve">, dominasi mood deklaratif dan modulasi keharusan tinggi memposisikan penutur sebagai otoritas yang menuntun sekaligus mewajibkan. Secara </w:t>
      </w:r>
      <w:r>
        <w:rPr>
          <w:b/>
        </w:rPr>
        <w:t xml:space="preserve">tekstual</w:t>
      </w:r>
      <w:r>
        <w:t xml:space="preserve">, tema bermarkah waktu/krisis dan kohesi kausal-leksikal menata pesan sehingga argumen modernis tampak runtut dan tak terelakkan. Analisis metafungsi ini dapat menjadi dasar deskriptif-linguistik bagi interpretasi kritis lebih lanjut (mis. pada dimensi Fairclough).</w:t>
      </w:r>
    </w:p>
    <w:p>
      <w:pPr>
        <w:pStyle w:val="Heading1"/>
      </w:pPr>
      <w:r>
        <w:t xml:space="preserve">Rujukan</w:t>
      </w:r>
    </w:p>
    <w:p>
      <w:pPr>
        <w:pStyle w:val="Normal"/>
      </w:pPr>
      <w:r>
        <w:t xml:space="preserve">Halliday, M. A. K. (1994). An introduction to functional grammar (2nd ed.). Edward Arnold.</w:t>
      </w:r>
    </w:p>
    <w:p>
      <w:pPr>
        <w:pStyle w:val="Normal"/>
      </w:pPr>
      <w:r>
        <w:t xml:space="preserve">Halliday, M. A. K., &amp; Hasan, R. (1976). Cohesion in English. Longman.</w:t>
      </w:r>
    </w:p>
    <w:p>
      <w:pPr>
        <w:pStyle w:val="Normal"/>
      </w:pPr>
      <w:r>
        <w:t xml:space="preserve">Halliday, M. A. K., &amp; Matthiessen, C. M. I. M. (2014). Halliday’s introduction to functional grammar (4th ed.). Routledge.</w:t>
      </w:r>
    </w:p>
    <w:p>
      <w:pPr>
        <w:pStyle w:val="Normal"/>
      </w:pPr>
      <w:r>
        <w:t xml:space="preserve">Catatan: Kutipan bukti diambil verbatim dari objek teks “Nilai Tradisi dan Nilai Modern dalam Kebudayaan Kita” (nilai_tradisi_modern.docx).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 w:line="276" w:lineRule="auto"/>
      <w:jc w:val="both"/>
    </w:pPr>
  </w:style>
  <w:style w:type="paragraph" w:styleId="Title">
    <w:name w:val="Title"/>
    <w:pPr>
      <w:spacing w:after="120"/>
      <w:jc w:val="left"/>
    </w:pPr>
    <w:rPr>
      <w:b/>
      <w:sz w:val="40"/>
    </w:rPr>
  </w:style>
  <w:style w:type="paragraph" w:styleId="Subtitle">
    <w:name w:val="Subtitle"/>
    <w:pPr>
      <w:spacing w:after="240"/>
    </w:pPr>
    <w:rPr>
      <w:i/>
      <w:sz w:val="26"/>
    </w:rPr>
  </w:style>
  <w:style w:type="paragraph" w:styleId="Heading1">
    <w:name w:val="heading 1"/>
    <w:basedOn w:val="Normal"/>
    <w:pPr>
      <w:keepNext/>
      <w:spacing w:before="280" w:after="120"/>
      <w:jc w:val="left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jc w:val="left"/>
    </w:pPr>
    <w:rPr>
      <w:b/>
      <w:sz w:val="25"/>
    </w:rPr>
  </w:style>
  <w:style w:type="paragraph" w:styleId="Quote">
    <w:name w:val="Quote"/>
    <w:basedOn w:val="Normal"/>
    <w:pPr>
      <w:ind w:left="567"/>
      <w:spacing w:after="160"/>
    </w:pPr>
    <w:rPr>
      <w:i/>
    </w:rPr>
  </w:style>
  <w:style w:type="paragraph" w:styleId="ListBullet">
    <w:name w:val="List Bullet"/>
    <w:basedOn w:val="Normal"/>
    <w:pPr>
      <w:ind w:left="360" w:hanging="360"/>
      <w:spacing w:after="10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