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5B21B6"/>
          <w:sz w:val="26"/>
        </w:rPr>
        <w:t>NGAJI ROSO — MUHASABAH DIRI</w:t>
      </w:r>
    </w:p>
    <w:p>
      <w:pPr>
        <w:spacing w:after="40"/>
        <w:jc w:val="center"/>
      </w:pPr>
      <w:r>
        <w:rPr>
          <w:b/>
          <w:color w:val="5B21B6"/>
          <w:sz w:val="32"/>
        </w:rPr>
        <w:t>Ringkasan Kajian: Roso, Guru Sejati dalam Diri</w:t>
      </w:r>
    </w:p>
    <w:p>
      <w:pPr>
        <w:spacing w:after="80"/>
        <w:jc w:val="center"/>
      </w:pPr>
      <w:r>
        <w:rPr>
          <w:i w:val="0"/>
          <w:sz w:val="22"/>
        </w:rPr>
        <w:t>Dr. Fahruddin Faiz • Kanal YouTube: Ruang Sinau</w:t>
      </w:r>
    </w:p>
    <w:p>
      <w:pPr>
        <w:spacing w:after="80"/>
        <w:jc w:val="center"/>
      </w:pPr>
      <w:r>
        <w:rPr>
          <w:i w:val="0"/>
          <w:sz w:val="22"/>
        </w:rPr>
        <w:t>Judul video: "Ngaji Roso: Pahami Ilmu Roso dan Rasakan Perubahan Hidupmu!"</w:t>
      </w:r>
    </w:p>
    <w:p>
      <w:pPr>
        <w:spacing w:after="200"/>
        <w:jc w:val="center"/>
      </w:pPr>
      <w:r>
        <w:rPr>
          <w:i w:val="0"/>
          <w:sz w:val="21"/>
        </w:rPr>
        <w:t>Video kajian: https://youtu.be/Yh64pp0Ejwk • Durasi ±48 menit • Diunggah 9 Juni 2025</w:t>
      </w:r>
    </w:p>
    <w:p>
      <w:pPr>
        <w:pStyle w:val="Heading1"/>
      </w:pPr>
      <w:r>
        <w:rPr>
          <w:color w:val="5B21B6"/>
        </w:rPr>
        <w:t>1. Roso adalah Guru yang Sejati</w:t>
      </w:r>
    </w:p>
    <w:p>
      <w:pPr>
        <w:spacing w:after="100"/>
      </w:pPr>
      <w:r>
        <w:t>Kajian dibuka dengan pepatah Jawa: roso iku guru sejati — rasa (batin) adalah guru yang sejati; siapa yang memahami roso akan memahami kehendak Tuhan. Roso yang sejati bukanlah rasa fisik (pedas, pahit) dan bukan sekadar emosi, melainkan jernihnya hati nurani. Guru sejati itu tidak berwujud sosok di luar diri — ia adalah suara hati nurani yang jernih, yang memantulkan cahaya Ilahi ke dalam hidup kita. Buku, guru, dan dosen hanyalah rujukan dan pembantu; yang menjalankan laku tetap diri kita sendiri.</w:t>
      </w:r>
    </w:p>
    <w:p>
      <w:pPr>
        <w:pStyle w:val="Heading1"/>
      </w:pPr>
      <w:r>
        <w:rPr>
          <w:color w:val="5B21B6"/>
        </w:rPr>
        <w:t>2. Tiga Jalan Membangkitkan Guru Sejati</w:t>
      </w:r>
    </w:p>
    <w:p>
      <w:pPr>
        <w:pStyle w:val="ListBullet"/>
        <w:spacing w:after="60"/>
      </w:pPr>
      <w:r>
        <w:rPr>
          <w:b/>
        </w:rPr>
        <w:t xml:space="preserve">Tazkiyatun nafs — menyucikan hati. </w:t>
      </w:r>
      <w:r>
        <w:t>Membersihkan hati dari sifat negatif: iri, dengki, benci, sombong, dan keterikatan. Sifat-sifat itu menjadi titik gelap yang menghalangi nurani memantulkan cahaya; orang yang dikuasai kebencian akan melihat dan berbuat hanya melalui kacamata kebenciannya. Dalam tasawuf tahap ini disebut takholli — kosongkan dulu dari yang buruk. Caranya: taubat; yang salah direvisi, yang keliru diluruskan.</w:t>
      </w:r>
    </w:p>
    <w:p>
      <w:pPr>
        <w:pStyle w:val="ListBullet"/>
        <w:spacing w:after="60"/>
      </w:pPr>
      <w:r>
        <w:rPr>
          <w:b/>
        </w:rPr>
        <w:t xml:space="preserve">Laku prihatin / tirakat. </w:t>
      </w:r>
      <w:r>
        <w:t>Melatih pengendalian diri: mengurangi makan, mengurangi tidur, berpuasa, menahan hasrat. Kaidah makan dari Rasulullah ﷺ — makan saat lapar dan berhenti sebelum kenyang — pada hakikatnya adalah latihan kontrol diri, bukan sekadar soal kesehatan. Buah tirakat adalah keterkontrolan, dan keterkontrolan membuat hidup jauh lebih bahagia.</w:t>
      </w:r>
    </w:p>
    <w:p>
      <w:pPr>
        <w:pStyle w:val="ListBullet"/>
        <w:spacing w:after="60"/>
      </w:pPr>
      <w:r>
        <w:rPr>
          <w:b/>
        </w:rPr>
        <w:t xml:space="preserve">Olah roso. </w:t>
      </w:r>
      <w:r>
        <w:t>Menajamkan kesadaran batin agar mampu menangkap kebenaran, memahami kehendak Tuhan, dan membaca makna di balik setiap peristiwa — seperti menjernihkan air keruh hingga cahaya tampak menembusnya.</w:t>
      </w:r>
    </w:p>
    <w:p>
      <w:pPr>
        <w:pStyle w:val="Heading1"/>
      </w:pPr>
      <w:r>
        <w:rPr>
          <w:color w:val="5B21B6"/>
        </w:rPr>
        <w:t>3. Tiga Macam Roso</w:t>
      </w:r>
    </w:p>
    <w:p>
      <w:pPr>
        <w:pStyle w:val="ListBullet"/>
        <w:spacing w:after="60"/>
      </w:pPr>
      <w:r>
        <w:rPr>
          <w:b/>
        </w:rPr>
        <w:t xml:space="preserve">Roso pribadi. </w:t>
      </w:r>
      <w:r>
        <w:t>Kepekaan mengenali keadaan batin diri sendiri: "saya sedang marah", "saya sedang kecewa". Latihannya adalah mengambil jarak dari diri — mengamati diri yang sedang marah, bahkan memanggil nama sendiri dan mengajak diri berbicara — agar kita tidak larut dan dikuasai emosi.</w:t>
      </w:r>
    </w:p>
    <w:p>
      <w:pPr>
        <w:pStyle w:val="ListBullet"/>
        <w:spacing w:after="60"/>
      </w:pPr>
      <w:r>
        <w:rPr>
          <w:b/>
        </w:rPr>
        <w:t xml:space="preserve">Roso sosial. </w:t>
      </w:r>
      <w:r>
        <w:t>Daya empati: mampu merasakan apa yang dirasakan orang lain — kegelisahannya, kesedihannya.</w:t>
      </w:r>
    </w:p>
    <w:p>
      <w:pPr>
        <w:pStyle w:val="ListBullet"/>
        <w:spacing w:after="60"/>
      </w:pPr>
      <w:r>
        <w:rPr>
          <w:b/>
        </w:rPr>
        <w:t xml:space="preserve">Roso ilahi. </w:t>
      </w:r>
      <w:r>
        <w:t>Kesadaran batin akan hadir dan mengawasinya Tuhan atas kita; dalam tasawuf dekat dengan muraqabah. Karena merasa diawasi Allah, kita malu dan tidak berani berbuat sembrono — sekalipun tidak ada manusia yang tahu.</w:t>
      </w:r>
    </w:p>
    <w:p>
      <w:pPr>
        <w:pStyle w:val="Heading1"/>
      </w:pPr>
      <w:r>
        <w:rPr>
          <w:color w:val="5B21B6"/>
        </w:rPr>
        <w:t>4. Tahapan Olah Roso</w:t>
      </w:r>
    </w:p>
    <w:p>
      <w:pPr>
        <w:pStyle w:val="ListBullet"/>
        <w:spacing w:after="60"/>
      </w:pPr>
      <w:r>
        <w:rPr>
          <w:b/>
        </w:rPr>
        <w:t xml:space="preserve">Srawung roso — mengenali rasa. </w:t>
      </w:r>
      <w:r>
        <w:t>Peka terhadap perasaan sendiri dan tanda-tandanya. Buahnya: eling lan waspodo (ingat dan waspada) — tahu kapan harus mendekat, kapan menjauh dari pemicu yang membuat kita tergelincir.</w:t>
      </w:r>
    </w:p>
    <w:p>
      <w:pPr>
        <w:pStyle w:val="ListBullet"/>
        <w:spacing w:after="60"/>
      </w:pPr>
      <w:r>
        <w:rPr>
          <w:b/>
        </w:rPr>
        <w:t xml:space="preserve">Seleh roso — memasrahkan rasa. </w:t>
      </w:r>
      <w:r>
        <w:t>Setelah dikenali, rasa itu diterima apa adanya ("iya, saya sedang marah"), diambil jarak darinya, diperbaiki bila perlu, lalu dilepaskan. Sesuai peribahasa: wong salah kudu seleh — orang yang bersalah harus berani mengakui, pasrah, dan melepas. Setelah dilepas, kalbu menjadi bersih.</w:t>
      </w:r>
    </w:p>
    <w:p>
      <w:pPr>
        <w:pStyle w:val="ListBullet"/>
        <w:spacing w:after="60"/>
      </w:pPr>
      <w:r>
        <w:rPr>
          <w:b/>
        </w:rPr>
        <w:t xml:space="preserve">Manunggal roso — menyatu dengan rasa. </w:t>
      </w:r>
      <w:r>
        <w:t>Ketika batin sudah jernih, guru sejati hadir. Kehendak kita selaras dengan kehendak Tuhan: kita senang berbuat jujur karena Allah menghendaki kejujuran; kita gembira taat karena Allah menghendaki ketaatan. Inilah nyawiji roso — yang dalam khazanah Jawa digambarkan sebagai manunggaling kawula Gusti dalam makna keselarasan kehendak, bukan peleburan zat.</w:t>
      </w:r>
    </w:p>
    <w:p>
      <w:pPr>
        <w:pStyle w:val="Heading1"/>
      </w:pPr>
      <w:r>
        <w:rPr>
          <w:color w:val="5B21B6"/>
        </w:rPr>
        <w:t>5. Semedi: Wadah Olah Roso</w:t>
      </w:r>
    </w:p>
    <w:p>
      <w:pPr>
        <w:spacing w:after="100"/>
      </w:pPr>
      <w:r>
        <w:t>Semedi adalah laku diam dan hening untuk menyatu dengan kesadaran batin — dalam tasawuf dekat dengan uzlah dan tafakur: menjauh sejenak dari keramaian agar pikiran yang gaduh mengendap dan suara hati nurani terdengar. Di zaman yang pikirannya terus gaduh oleh keramaian dan gawai, ambillah momen hening secara berkala — seminggu sekali atau sebulan sekali — untuk masuk ke dalam diri, mengenali rasa (srawung), melepasnya (seleh), dan menjernihkan batin.</w:t>
      </w:r>
    </w:p>
    <w:p>
      <w:pPr>
        <w:pStyle w:val="Heading1"/>
      </w:pPr>
      <w:r>
        <w:rPr>
          <w:color w:val="5B21B6"/>
        </w:rPr>
        <w:t>6. Buahnya: Kewaskitaan</w:t>
      </w:r>
    </w:p>
    <w:p>
      <w:pPr>
        <w:spacing w:after="100"/>
      </w:pPr>
      <w:r>
        <w:t>Orang yang batinnya jernih dan terbimbing guru sejati disebut waskito: memiliki kebijaksanaan mendalam dan ketajaman penglihatan batin — dalam tasawuf disebut makrifat. Bukan waskito dalam arti meramal masa depan, melainkan kemampuan menangkap kebenaran bahkan yang tidak tampak: membaca gelagat dan gestur seseorang, memahami makna di balik peristiwa, intuisi dan kecerdasan spiritual yang tinggi, hidup tenang, dekat dengan Tuhan, dan harmonis dengan alam.</w:t>
      </w:r>
    </w:p>
    <w:p>
      <w:pPr>
        <w:pStyle w:val="Heading1"/>
      </w:pPr>
      <w:r>
        <w:rPr>
          <w:color w:val="5B21B6"/>
        </w:rPr>
        <w:t>7. Profil Orang yang Menemukan Guru Sejati</w:t>
      </w:r>
    </w:p>
    <w:p>
      <w:pPr>
        <w:pStyle w:val="ListBullet"/>
        <w:spacing w:after="60"/>
      </w:pPr>
      <w:r>
        <w:rPr>
          <w:b/>
        </w:rPr>
        <w:t xml:space="preserve">Andhap asor (rendah hati). </w:t>
      </w:r>
      <w:r>
        <w:t>Tidak merasa lebih tinggi, tidak membeda-bedakan orang, dan tidak memamerkan spiritualitasnya. Yang sudah sampai justru tidak banyak bicara — seperti orang yang benar-benar jatuh cinta: sibuk menjalani, bukan sibuk berceramah tentang cinta.</w:t>
      </w:r>
    </w:p>
    <w:p>
      <w:pPr>
        <w:pStyle w:val="ListBullet"/>
        <w:spacing w:after="60"/>
      </w:pPr>
      <w:r>
        <w:rPr>
          <w:b/>
        </w:rPr>
        <w:t xml:space="preserve">Sumeh dan welas asih. </w:t>
      </w:r>
      <w:r>
        <w:t>Ramah, murah senyum, penuh kasih; wajahnya teduh dan kehadirannya menenangkan serta menggembirakan. Mudah memaafkan, tidak pendendam, dan tidak menghakimi — karena setiap orang punya laku dan ceritanya sendiri.</w:t>
      </w:r>
    </w:p>
    <w:p>
      <w:pPr>
        <w:pStyle w:val="ListBullet"/>
        <w:spacing w:after="60"/>
      </w:pPr>
      <w:r>
        <w:rPr>
          <w:b/>
        </w:rPr>
        <w:t xml:space="preserve">Menang lan eling. </w:t>
      </w:r>
      <w:r>
        <w:t>Hening, tidak banyak bicara; berbicara hanya bila perlu, dan kata-katanya bersifat ngemong — mengayomi dan menyejukkan, tidak mengancam. Senantiasa ingat (eling) dan waspada.</w:t>
      </w:r>
    </w:p>
    <w:p>
      <w:pPr>
        <w:pStyle w:val="ListBullet"/>
        <w:spacing w:after="60"/>
      </w:pPr>
      <w:r>
        <w:rPr>
          <w:b/>
        </w:rPr>
        <w:t xml:space="preserve">Tidak mencari pengakuan. </w:t>
      </w:r>
      <w:r>
        <w:t>Tidak butuh pujian, sanjungan, atau pengikut; tidak suka memamerkan keistimewaan (flexing). Hidupnya biasa saja — istimewanya, batinnya selalu terhubung dengan Tuhan.</w:t>
      </w:r>
    </w:p>
    <w:p>
      <w:pPr>
        <w:pStyle w:val="ListBullet"/>
        <w:spacing w:after="60"/>
      </w:pPr>
      <w:r>
        <w:rPr>
          <w:b/>
        </w:rPr>
        <w:t xml:space="preserve">Sumunar (bercahaya). </w:t>
      </w:r>
      <w:r>
        <w:t>Tanpa pamer pun orang hormat dan cinta kepadanya; kehadirannya menjadi solusi dan kehidupannya menjadi teladan.</w:t>
      </w:r>
    </w:p>
    <w:p>
      <w:pPr>
        <w:pStyle w:val="ListBullet"/>
        <w:spacing w:after="60"/>
      </w:pPr>
      <w:r>
        <w:rPr>
          <w:b/>
        </w:rPr>
        <w:t xml:space="preserve">Teteg dan jujur. </w:t>
      </w:r>
      <w:r>
        <w:t>Teguh, tidak mudah goyah oleh ujian dan fitnah; jujur dalam laku batin dan tindakan lahir; berani menegakkan kebenaran — tanpa menyakiti orang lain.</w:t>
      </w:r>
    </w:p>
    <w:p>
      <w:pPr>
        <w:pStyle w:val="Heading1"/>
      </w:pPr>
      <w:r>
        <w:rPr>
          <w:color w:val="5B21B6"/>
        </w:rPr>
        <w:t>8. Simbol Perjalanan: Lakon Dewa Ruci</w:t>
      </w:r>
    </w:p>
    <w:p>
      <w:pPr>
        <w:spacing w:after="100"/>
      </w:pPr>
      <w:r>
        <w:t>Dalam tradisi Jawa, perjalanan menemukan guru sejati disimbolkan lewat lakon Dewa Ruci — karya para wali yang tidak ada dalam Mahabarata versi India. Werkudara (Bima) diperintah gurunya, Pendeta Durna, mencari Banyu Perwitosari (air kehidupan) — sebenarnya jebakan agar ia celaka, tetapi karena perintah guru, ia tetap berangkat dengan patuh. Ia menaklukkan dua raksasa di Gunung Reksamuka, lalu naga Amburnawa di tengah samudra, hingga bertemu Dewa Ruci: dewa mungil berwajah persis dirinya, yang menyuruhnya masuk ke dalam dirinya lewat telinga kiri. Di dalam, ia melewati Pancamaya (cahaya lima warna — kenikmatan pancaindra; jangan berhenti di situ), lalu empat warna nafsu: hitam (lawwamah — pendorong ke negatif), merah (amarah — ambisi dan agresi), sufiyah (akal yang terlalu dominan), dan putih (muthmainnah — ketenangan dan kesucian). Di ujungnya tampak satu nyala dengan delapan warna: simbol menyatunya kehendak hamba dengan kehendak Tuhan.</w:t>
      </w:r>
    </w:p>
    <w:p>
      <w:pPr>
        <w:spacing w:after="100"/>
      </w:pPr>
      <w:r>
        <w:t>Simbol-simbolnya: Gunung Reksamuka berasal dari kata ngreksa (memelihara/menjaga) — pengendalian diri; hutan Tikbrasara berarti keprihatinan dan ketajaman; dua raksasa Rukmuka dan Rukmakala melambangkan kamukten dan kamulyan — kemuliaan dan kenikmatan duniawi yang sering justru menjauhkan orang dari Tuhan (kesulitan hidup kerap lebih mendekatkan); naga adalah batin yang kotor yang harus ditaklukkan. Werkudara sendiri adalah potret salik (penempuh jalan spiritual): istiqamah dan kokoh, kain poleng hitam-putihnya menunjukkan ketegasan benar-salah, kuku Pancanaka berkekuatan lima, dan ia selalu berbicara ngoko kepada siapa pun — simbol tauhid yang egaliter: di hadapan Allah, semua manusia sama-sama makhluk. Pesan lakon ini: air kehidupan yang dicari ke mana-mana itu ternyata ada di dalam diri sendiri — guru sejati adalah diri kita yang jernih, hati nurani yang tersambung dengan Tuhan.</w:t>
      </w:r>
    </w:p>
    <w:p>
      <w:pPr>
        <w:pStyle w:val="Heading1"/>
      </w:pPr>
      <w:r>
        <w:rPr>
          <w:color w:val="5B21B6"/>
        </w:rPr>
        <w:t>Pesan Kunci</w:t>
      </w:r>
    </w:p>
    <w:p>
      <w:pPr>
        <w:pStyle w:val="ListBullet"/>
        <w:spacing w:after="60"/>
      </w:pPr>
      <w:r>
        <w:t>Guru sejati bukan "siapa", melainkan "apa": hati nurani yang jernih di dalam diri kita sendiri.</w:t>
      </w:r>
    </w:p>
    <w:p>
      <w:pPr>
        <w:pStyle w:val="ListBullet"/>
        <w:spacing w:after="60"/>
      </w:pPr>
      <w:r>
        <w:t>Jalannya tiga: sucikan hati (tazkiyatun nafs/taubat), latih diri (tirakat), dan olah roso.</w:t>
      </w:r>
    </w:p>
    <w:p>
      <w:pPr>
        <w:pStyle w:val="ListBullet"/>
        <w:spacing w:after="60"/>
      </w:pPr>
      <w:r>
        <w:t>Kenali rasa (srawung), terima dan lepaskan (seleh), hingga kehendak kita selaras dengan kehendak Tuhan (manunggal).</w:t>
      </w:r>
    </w:p>
    <w:p>
      <w:pPr>
        <w:pStyle w:val="ListBullet"/>
        <w:spacing w:after="60"/>
      </w:pPr>
      <w:r>
        <w:t>Buahnya kewaskitaan dan profil pribadi yang rendah hati, welas asih, hening, bercahaya, teguh, dan jujur.</w:t>
      </w:r>
    </w:p>
    <w:p>
      <w:pPr>
        <w:spacing w:before="240"/>
      </w:pPr>
      <w:r>
        <w:rPr>
          <w:i/>
          <w:color w:val="666666"/>
          <w:sz w:val="19"/>
        </w:rPr>
        <w:t>Catatan: Dokumen ini adalah RINGKASAN yang disusun Mas Yosad dari transkrip otomatis video kajian di atas untuk keperluan belajar dan arsip pribadi — bukan transkrip kata-per-kata resmi. Untuk menyimak kajian utuhnya, silakan tonton videonya melalui tautan di kepala dokumen.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