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5B21B6"/>
          <w:sz w:val="26"/>
        </w:rPr>
        <w:t>NGAJI ROSO — MUHASABAH DIRI</w:t>
      </w:r>
    </w:p>
    <w:p>
      <w:pPr>
        <w:spacing w:after="40"/>
        <w:jc w:val="center"/>
      </w:pPr>
      <w:r>
        <w:rPr>
          <w:b/>
          <w:color w:val="5B21B6"/>
          <w:sz w:val="32"/>
        </w:rPr>
        <w:t>Ringkasan Kajian: Definisi Nafsu dan Cara Mengendalikannya</w:t>
      </w:r>
    </w:p>
    <w:p>
      <w:pPr>
        <w:spacing w:after="80"/>
        <w:jc w:val="center"/>
      </w:pPr>
      <w:r>
        <w:rPr>
          <w:i w:val="0"/>
          <w:sz w:val="22"/>
        </w:rPr>
        <w:t>Ustadz Adi Hidayat • Kajian Musawarah • Adi Hidayat Official</w:t>
      </w:r>
    </w:p>
    <w:p>
      <w:pPr>
        <w:spacing w:after="200"/>
        <w:jc w:val="center"/>
      </w:pPr>
      <w:r>
        <w:rPr>
          <w:i w:val="0"/>
          <w:sz w:val="21"/>
        </w:rPr>
        <w:t>Video kajian: https://youtu.be/d1jVx01M5Yw • Durasi ±1 jam 2 menit</w:t>
      </w:r>
    </w:p>
    <w:p>
      <w:pPr>
        <w:pStyle w:val="Heading1"/>
      </w:pPr>
      <w:r>
        <w:rPr>
          <w:color w:val="5B21B6"/>
        </w:rPr>
        <w:t>1. Kerangka Kajian — Dua Potensi dalam Jiwa</w:t>
      </w:r>
    </w:p>
    <w:p>
      <w:pPr>
        <w:spacing w:after="100"/>
      </w:pPr>
      <w:r>
        <w:t>Kajian dibuka dari QS Asy-Syams (91) ayat 7–10: Allah bersumpah demi jiwa (nafs) yang telah disempurnakan penciptaannya, lalu diilhamkan ke dalamnya dua potensi yang berlawanan — fujur dan taqwa. Siapa yang menyucikan jiwanya akan beruntung (sukses dan bahagia), dan siapa yang mengotorinya akan merugi. Seluruh perilaku manusia, dari ujung kepala sampai ujung kaki, dikendalikan oleh potensi mana yang dijadikan acuan: jika kendalinya taqwa, hidup cenderung menuju kesuksesan dan kebahagiaan; jika fujur, hidup cenderung menuju kehinaan dan nestapa.</w:t>
      </w:r>
    </w:p>
    <w:p>
      <w:pPr>
        <w:pStyle w:val="Heading1"/>
      </w:pPr>
      <w:r>
        <w:rPr>
          <w:color w:val="5B21B6"/>
        </w:rPr>
        <w:t>2. Dari Mana Datangnya Nafs</w:t>
      </w:r>
    </w:p>
    <w:p>
      <w:pPr>
        <w:spacing w:after="100"/>
      </w:pPr>
      <w:r>
        <w:t>Manusia disebut dalam Al-Qur’an dengan lima nama, dan setiap nama menunjukkan fungsi: Basyar (disebut 35 kali — terkait penataan nafsu), Insan (65 kali — totalitas aktivitas dan akhlak), Bani Adam (7 kali — garis keturunan dan sejarah), An-Nas (241 kali — hubungan sosial), serta penyebutan berpasangan dengan jin (18 kali). Urutan penciptaan: malaikat dari cahaya, jin dari api, lalu manusia (QS Al-Hijr 15: 28–30). Iblis berasal dari kalangan jin yang taat (Azazil) tetapi tertutup kesombongan; Allah murka bukan karena ia tidak sujud kepada Adam, melainkan karena tidak patuh kepada perintah Allah (QS Al-Kahf 18: 50; Al-Baqarah 2: 34; Al-A’raf 7: 11–12).</w:t>
      </w:r>
    </w:p>
    <w:p>
      <w:pPr>
        <w:spacing w:after="100"/>
      </w:pPr>
      <w:r>
        <w:t>Penciptaan manusia berlangsung dua tahap. Pertama, fisik yang berproses sekitar empat bulan dalam kandungan (QS Al-Hajj 22: 5; Al-Mu’minun 23: 11–15; hadis Arba’in An-Nawawiyah no. 4). Kedua, peniupan roh pada usia empat bulan — karena itu pendidikan anak dimulai sejak dalam kandungan, antara lain dengan doa QS Al-A’raf 7: 189 oleh suami dan istri. Roh bersumber langsung dari Allah (QS Al-Isra 17: 85) dan membawa akumulasi sifat kebaikan yang disebut taqwa. Adapun fisik terbentuk melalui proses dan ikhtiar — termasuk apa yang dikonsumsi (halal, syubhat, atau haram) — dan membawa sifat bawaan yang disebut fujur. Ketika roh yang membawa taqwa bercampur dengan fujur dari fisik, namanya berubah menjadi nafs. Diibaratkan segelas air bening (taqwa): warnanya berubah mengikuti campurannya — susu membuatnya keruh nyaman, tetapi lumpur dan yang haram merusaknya. Karena itu jangan membawa yang haram ke rumah untuk dikonsumsi keluarga, sebab ia berpengaruh pada karakter, termasuk pada janin.</w:t>
      </w:r>
    </w:p>
    <w:p>
      <w:pPr>
        <w:pStyle w:val="Heading1"/>
      </w:pPr>
      <w:r>
        <w:rPr>
          <w:color w:val="5B21B6"/>
        </w:rPr>
        <w:t>3. Fujur Adalah Katalis, Bukan Jebakan</w:t>
      </w:r>
    </w:p>
    <w:p>
      <w:pPr>
        <w:spacing w:after="100"/>
      </w:pPr>
      <w:r>
        <w:t>Di dalam nafs berkumpul pasangan sifat yang berlawanan: jujur ↔ dusta, rendah hati ↔ sombong, sabar ↔ marah. Rumus menatanya ada pada kata "zakkaha" (QS 91: 9) — tazkiyah, menyucikan. Menyucikan pakaian berarti membuang kotorannya, bukan membuang bajunya. Kotoran ada bukan untuk mengotori, melainkan agar kebersihan tampak dan terwujud: tidak ada sabar tanpa pemicu amarah, tidak tampak kejujuran tanpa adanya dusta. Maka fujur diciptakan Allah sebagai katalis — pendorong agar sifat baik muncul ke permukaan — bukan untuk menjebak manusia dalam keburukan.</w:t>
      </w:r>
    </w:p>
    <w:p>
      <w:pPr>
        <w:pStyle w:val="Heading1"/>
      </w:pPr>
      <w:r>
        <w:rPr>
          <w:color w:val="5B21B6"/>
        </w:rPr>
        <w:t>4. Asal Kata "Nafsu" dan Provokasi Setan</w:t>
      </w:r>
    </w:p>
    <w:p>
      <w:pPr>
        <w:spacing w:after="100"/>
      </w:pPr>
      <w:r>
        <w:t>Nafs berdiam di dalam kalbu (hati) dan menjadi sumber perintah bagi seluruh anggota badan. Setan sejak dilaknat telah meminta izin menggoda manusia (QS An-Nisa 4: 116–118); ia membisikkan waswas secara halus ke dalam dada (QS An-Nas 114). Bisikan buruk itu disebut su’ — dan nafs yang telah diperintah oleh su’ inilah yang disebut nafsu (QS Yusuf 12: 53). Jadi nafsu bukanlah musuh yang harus dibunuh, melainkan nafs yang sedang dikuasai bisikan buruk dan harus dikembalikan kendalinya kepada taqwa.</w:t>
      </w:r>
    </w:p>
    <w:p>
      <w:pPr>
        <w:pStyle w:val="Heading1"/>
      </w:pPr>
      <w:r>
        <w:rPr>
          <w:color w:val="5B21B6"/>
        </w:rPr>
        <w:t>5. Cara Mengendalikan Nafsu</w:t>
      </w:r>
    </w:p>
    <w:p>
      <w:pPr>
        <w:pStyle w:val="ListBullet"/>
        <w:spacing w:after="60"/>
      </w:pPr>
      <w:r>
        <w:rPr>
          <w:b/>
        </w:rPr>
        <w:t xml:space="preserve">Munculkan lawan baiknya. </w:t>
      </w:r>
      <w:r>
        <w:t>Setiap kali muncul dorongan atau pemandangan yang kurang baik — pada diri sendiri maupun orang lain — segera hadirkan sifat baik lawannya: cemberut dibalas senyum, kesedihan diganti kegembiraan, kegelisahan ditenangkan, kesombongan dihadapi dengan kerendahan hati. Nabi ﷺ bahkan memerintahkan seorang anak yang membuat ibunya menangis karena berangkat jihad untuk pulang dan membuat ibunya tertawa. Ujian pada orang lain (anak yang sangat aktif, tetangga yang sakit atau belum mau ke masjid, musibah seperti gempa Cianjur) sering kali adalah fitnah — ujian yang hikmahnya justru ditujukan kepada kita yang menyaksikannya: agar kita merespons dengan kebaikan, berbagi, dan mendoakan.</w:t>
      </w:r>
    </w:p>
    <w:p>
      <w:pPr>
        <w:pStyle w:val="ListBullet"/>
        <w:spacing w:after="60"/>
      </w:pPr>
      <w:r>
        <w:rPr>
          <w:b/>
        </w:rPr>
        <w:t xml:space="preserve">Rem pertama: pikirkan kehinaan diri. </w:t>
      </w:r>
      <w:r>
        <w:t>Siapa yang menuruti fujur — berdusta, sombong, berkata kotor, korupsi — ujungnya pasti kehinaan: celaan, cacian, dan ketersingkapan (QS 91: 10).</w:t>
      </w:r>
    </w:p>
    <w:p>
      <w:pPr>
        <w:pStyle w:val="ListBullet"/>
        <w:spacing w:after="60"/>
      </w:pPr>
      <w:r>
        <w:rPr>
          <w:b/>
        </w:rPr>
        <w:t xml:space="preserve">Rem kedua: pikirkan keluarga. </w:t>
      </w:r>
      <w:r>
        <w:t>Keburukan seseorang menimpa juga orang tua, pasangan, dan anaknya yang tidak ikut berbuat: anak koruptor dibully hingga putus sekolah, karier suami hancur oleh perbuatan istri, dan sebaliknya. Sebelum berbuat buruk, ingatlah wajah ayah-ibu atau anak kita.</w:t>
      </w:r>
    </w:p>
    <w:p>
      <w:pPr>
        <w:pStyle w:val="ListBullet"/>
        <w:spacing w:after="60"/>
      </w:pPr>
      <w:r>
        <w:rPr>
          <w:b/>
        </w:rPr>
        <w:t xml:space="preserve">Rem ketiga: pikirkan kematian. </w:t>
      </w:r>
      <w:r>
        <w:t>Bayangkan jika kita diwafatkan tepat saat sedang bermaksiat — padahal selama ini kita shalat, puasa, dan berzakat. Ini rem tercepat dan terkuat.</w:t>
      </w:r>
    </w:p>
    <w:p>
      <w:pPr>
        <w:spacing w:after="100"/>
      </w:pPr>
      <w:r>
        <w:t>Perlindungan hariannya: Ayat Kursi, Al-Ikhlas, Al-Falaq, An-Nas, dan istighfar.</w:t>
      </w:r>
    </w:p>
    <w:p>
      <w:pPr>
        <w:pStyle w:val="Heading1"/>
      </w:pPr>
      <w:r>
        <w:rPr>
          <w:color w:val="5B21B6"/>
        </w:rPr>
        <w:t>6. Jalan Kembali: Taubat</w:t>
      </w:r>
    </w:p>
    <w:p>
      <w:pPr>
        <w:spacing w:after="100"/>
      </w:pPr>
      <w:r>
        <w:t>Bagi yang sudah terlanjur terjerumus, jalan pulangnya adalah taubat (QS An-Nisa 4: 17). Allah selalu memberi "kilatan cahaya" pengingat di hati — lewat renungan, pandangan (melewati masjid atau pesantren), atau pendengaran (terdengar ajakan bertaubat, atau kajian yang muncul di hadapan kita). Kilatan itu adalah undangan langsung dari Allah: segera sambut, jangan ditunda. Langkahnya: sesali perbuatan, mohon ampun kepada Allah, datangi dan minta maaf kepada manusia yang dirugikan tanpa sungkan, maafkan pula orang yang bersalah kepada kita, berjanji tidak mengulangi, dan ganti dengan perbuatan baik. Tanda taubat diterima: perbuatan-perbuatan buruk dari lisan, mata, telinga, hingga kaki berubah menjadi perbuatan baik. Banyak wali Allah justru berangkat dari masa lalu penuh maksiat yang ditaubati. Penutupnya adalah QS Al-Baqarah 2: 222 — "Innallaha yuhibbut-tawwabina wa yuhibbul-mutathahhirin": Allah sangat mencintai orang yang bertaubat, bahkan dibanding orang saleh yang tidak pernah merasa bersalah.</w:t>
      </w:r>
    </w:p>
    <w:p>
      <w:pPr>
        <w:pStyle w:val="Heading1"/>
      </w:pPr>
      <w:r>
        <w:rPr>
          <w:color w:val="5B21B6"/>
        </w:rPr>
        <w:t>Pesan Kunci</w:t>
      </w:r>
    </w:p>
    <w:p>
      <w:pPr>
        <w:pStyle w:val="ListBullet"/>
        <w:spacing w:after="60"/>
      </w:pPr>
      <w:r>
        <w:t>Di dalam diri setiap manusia ada taqwa dan fujur; yang menentukan arah hidup adalah potensi mana yang kita jadikan kendali.</w:t>
      </w:r>
    </w:p>
    <w:p>
      <w:pPr>
        <w:pStyle w:val="ListBullet"/>
        <w:spacing w:after="60"/>
      </w:pPr>
      <w:r>
        <w:t>Fujur adalah katalis kebaikan — hadapi setiap dorongan buruk dengan memunculkan lawan baiknya.</w:t>
      </w:r>
    </w:p>
    <w:p>
      <w:pPr>
        <w:pStyle w:val="ListBullet"/>
        <w:spacing w:after="60"/>
      </w:pPr>
      <w:r>
        <w:t>Tiga rem pengendali nafsu: ingat kehinaan, ingat keluarga, ingat kematian.</w:t>
      </w:r>
    </w:p>
    <w:p>
      <w:pPr>
        <w:pStyle w:val="ListBullet"/>
        <w:spacing w:after="60"/>
      </w:pPr>
      <w:r>
        <w:t>Pintu taubat selalu terbuka; sambut kilatan hidayah secepat ia datang.</w:t>
      </w:r>
    </w:p>
    <w:p>
      <w:pPr>
        <w:spacing w:before="240"/>
      </w:pPr>
      <w:r>
        <w:rPr>
          <w:i/>
          <w:color w:val="666666"/>
          <w:sz w:val="19"/>
        </w:rPr>
        <w:t>Catatan: Dokumen ini adalah RINGKASAN yang disusun Mas Yosad dari transkrip otomatis video kajian di atas untuk keperluan belajar dan arsip pribadi — bukan transkrip kata-per-kata resmi dari penyelenggara kajian. Untuk menyimak kajian utuhnya, silakan tonton videonya melalui tautan di kepala dokumen.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