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🧮 Estructura Empresarial y Modelo de Distribución – 13CC</w:t>
      </w:r>
    </w:p>
    <w:p>
      <w:r>
        <w:t>Este documento resume la estructura operativa-productiva y el modelo de distribución de ingresos del Club, integrando capital, producción y participación de los socios fundadores.</w:t>
      </w:r>
    </w:p>
    <w:p>
      <w:pPr>
        <w:pStyle w:val="Heading2"/>
      </w:pPr>
      <w:r>
        <w:t>1. 🧱 Estructura Productiva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Parte</w:t>
            </w:r>
          </w:p>
        </w:tc>
        <w:tc>
          <w:tcPr>
            <w:tcW w:type="dxa" w:w="1728"/>
          </w:tcPr>
          <w:p>
            <w:r>
              <w:t>Lámparas activas</w:t>
            </w:r>
          </w:p>
        </w:tc>
        <w:tc>
          <w:tcPr>
            <w:tcW w:type="dxa" w:w="1728"/>
          </w:tcPr>
          <w:p>
            <w:r>
              <w:t>Producción estimada</w:t>
            </w:r>
          </w:p>
        </w:tc>
        <w:tc>
          <w:tcPr>
            <w:tcW w:type="dxa" w:w="1728"/>
          </w:tcPr>
          <w:p>
            <w:r>
              <w:t>Frecuencia de corte</w:t>
            </w:r>
          </w:p>
        </w:tc>
        <w:tc>
          <w:tcPr>
            <w:tcW w:type="dxa" w:w="1728"/>
          </w:tcPr>
          <w:p>
            <w:r>
              <w:t>Infraestructura</w:t>
            </w:r>
          </w:p>
        </w:tc>
      </w:tr>
      <w:tr>
        <w:tc>
          <w:tcPr>
            <w:tcW w:type="dxa" w:w="1728"/>
          </w:tcPr>
          <w:p>
            <w:r>
              <w:t>Gory &amp; Ariel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~10 kg / 2 meses</w:t>
            </w:r>
          </w:p>
        </w:tc>
        <w:tc>
          <w:tcPr>
            <w:tcW w:type="dxa" w:w="1728"/>
          </w:tcPr>
          <w:p>
            <w:r>
              <w:t>Bimestral</w:t>
            </w:r>
          </w:p>
        </w:tc>
        <w:tc>
          <w:tcPr>
            <w:tcW w:type="dxa" w:w="1728"/>
          </w:tcPr>
          <w:p>
            <w:r>
              <w:t>Galpón alquilado</w:t>
            </w:r>
          </w:p>
        </w:tc>
      </w:tr>
      <w:tr>
        <w:tc>
          <w:tcPr>
            <w:tcW w:type="dxa" w:w="1728"/>
          </w:tcPr>
          <w:p>
            <w:r>
              <w:t>Santi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~2.25 kg / 2 meses</w:t>
            </w:r>
          </w:p>
        </w:tc>
        <w:tc>
          <w:tcPr>
            <w:tcW w:type="dxa" w:w="1728"/>
          </w:tcPr>
          <w:p>
            <w:r>
              <w:t>Escalonado (cada 21 días)</w:t>
            </w:r>
          </w:p>
        </w:tc>
        <w:tc>
          <w:tcPr>
            <w:tcW w:type="dxa" w:w="1728"/>
          </w:tcPr>
          <w:p>
            <w:r>
              <w:t>Casa propia (sin alquiler)</w:t>
            </w:r>
          </w:p>
        </w:tc>
      </w:tr>
    </w:tbl>
    <w:p>
      <w:r>
        <w:br/>
        <w:t>Producción por lámpara: 250 g cada 2 meses (en promedio)</w:t>
      </w:r>
    </w:p>
    <w:p>
      <w:r>
        <w:t>Modelo de producción:</w:t>
        <w:br/>
        <w:t>- Gory y Ariel cosechan en bloques grandes cada ~60 días.</w:t>
        <w:br/>
        <w:t>- Santi rota cada 3 focos cada 21 días, generando flujo constante.</w:t>
      </w:r>
    </w:p>
    <w:p>
      <w:pPr>
        <w:pStyle w:val="Heading2"/>
      </w:pPr>
      <w:r>
        <w:t>2. 💸 Modelo de Ingresos por Producción</w:t>
      </w:r>
    </w:p>
    <w:p>
      <w:r>
        <w:t>Esquema actual por gramo vendido:</w:t>
        <w:br/>
        <w:br/>
        <w:t>- Precio de venta: $8000 ARS</w:t>
        <w:br/>
        <w:t>- Comisión del Club (para gastos comunes): 12.5% = $1000</w:t>
        <w:br/>
        <w:t>- Resto para el productor: $7000</w:t>
        <w:br/>
        <w:br/>
        <w:t>Cada productor gestiona sus propios costos internos: luz, sustrato, infraestructura, etc.</w:t>
      </w:r>
    </w:p>
    <w:p>
      <w:pPr>
        <w:pStyle w:val="Heading2"/>
      </w:pPr>
      <w:r>
        <w:t>3. 🏛️ Nivel Societario del Club – Participación y Capital</w:t>
      </w:r>
    </w:p>
    <w:p>
      <w:r>
        <w:t>El Club acumula un fondo común con el 12.5% por venta. Ese fondo puede ser usado para:</w:t>
        <w:br/>
        <w:t>- Gastos institucionales (contador, legales, marketing)</w:t>
        <w:br/>
        <w:t>- Reinversión en estructura común (galpón futuro, herramientas)</w:t>
        <w:br/>
        <w:t>- Distribución de utilidades 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Socio</w:t>
            </w:r>
          </w:p>
        </w:tc>
        <w:tc>
          <w:tcPr>
            <w:tcW w:type="dxa" w:w="2880"/>
          </w:tcPr>
          <w:p>
            <w:r>
              <w:t>Aporte estimado (capital + estructura + rol)</w:t>
            </w:r>
          </w:p>
        </w:tc>
        <w:tc>
          <w:tcPr>
            <w:tcW w:type="dxa" w:w="2880"/>
          </w:tcPr>
          <w:p>
            <w:r>
              <w:t>Participación en el Club</w:t>
            </w:r>
          </w:p>
        </w:tc>
      </w:tr>
      <w:tr>
        <w:tc>
          <w:tcPr>
            <w:tcW w:type="dxa" w:w="2880"/>
          </w:tcPr>
          <w:p>
            <w:r>
              <w:t>Santi</w:t>
            </w:r>
          </w:p>
        </w:tc>
        <w:tc>
          <w:tcPr>
            <w:tcW w:type="dxa" w:w="2880"/>
          </w:tcPr>
          <w:p>
            <w:r>
              <w:t>$6M + 9 focos activos + flujo continuo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Gory</w:t>
            </w:r>
          </w:p>
        </w:tc>
        <w:tc>
          <w:tcPr>
            <w:tcW w:type="dxa" w:w="2880"/>
          </w:tcPr>
          <w:p>
            <w:r>
              <w:t>20 focos + operación diaria + infraestructura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  <w:tr>
        <w:tc>
          <w:tcPr>
            <w:tcW w:type="dxa" w:w="2880"/>
          </w:tcPr>
          <w:p>
            <w:r>
              <w:t>Ariel</w:t>
            </w:r>
          </w:p>
        </w:tc>
        <w:tc>
          <w:tcPr>
            <w:tcW w:type="dxa" w:w="2880"/>
          </w:tcPr>
          <w:p>
            <w:r>
              <w:t>20 focos + gestión de redes/eventos + histórico</w:t>
            </w:r>
          </w:p>
        </w:tc>
        <w:tc>
          <w:tcPr>
            <w:tcW w:type="dxa" w:w="2880"/>
          </w:tcPr>
          <w:p>
            <w:r>
              <w:t>33%</w:t>
            </w:r>
          </w:p>
        </w:tc>
      </w:tr>
    </w:tbl>
    <w:p>
      <w:pPr>
        <w:pStyle w:val="Heading2"/>
      </w:pPr>
      <w:r>
        <w:t>4. 📊 Comisión del Club – Modelo Simplificado (provisorio)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Comisión del Club (sobre cada venta)</w:t>
            </w:r>
          </w:p>
        </w:tc>
        <w:tc>
          <w:tcPr>
            <w:tcW w:type="dxa" w:w="4320"/>
          </w:tcPr>
          <w:p>
            <w:r>
              <w:t>Vigencia estimada</w:t>
            </w:r>
          </w:p>
        </w:tc>
      </w:tr>
      <w:tr>
        <w:tc>
          <w:tcPr>
            <w:tcW w:type="dxa" w:w="4320"/>
          </w:tcPr>
          <w:p>
            <w:r>
              <w:t>12.5%</w:t>
            </w:r>
          </w:p>
        </w:tc>
        <w:tc>
          <w:tcPr>
            <w:tcW w:type="dxa" w:w="4320"/>
          </w:tcPr>
          <w:p>
            <w:r>
              <w:t>Fijo por 6–12 meses</w:t>
            </w:r>
          </w:p>
        </w:tc>
      </w:tr>
    </w:tbl>
    <w:p>
      <w:r>
        <w:t>Objetivo:</w:t>
        <w:br/>
        <w:t>Mantener una estructura simple y equitativa durante la fase inicial de consolidación operativa del Club.</w:t>
        <w:br/>
        <w:t>La comisión será revisada en noviembre o ante un ajuste significativo del precio de venta.</w:t>
      </w:r>
    </w:p>
    <w:p>
      <w:pPr>
        <w:pStyle w:val="Heading2"/>
      </w:pPr>
      <w:r>
        <w:t>5. 🚀 Proyección Futura – Galpón Compartido</w:t>
      </w:r>
    </w:p>
    <w:p>
      <w:r>
        <w:t>Si en el futuro se unifica la producción en un solo galpón:</w:t>
        <w:br/>
        <w:t>- Se redefinirán los costos operativos como estructura común</w:t>
        <w:br/>
        <w:t>- Se puede aplicar un sistema por “focos gestionados” o unidades de producción</w:t>
        <w:br/>
        <w:t>- Requiere nuevo acuerdo de participación operativa y reparto</w:t>
      </w:r>
    </w:p>
    <w:p>
      <w:pPr>
        <w:pStyle w:val="Heading2"/>
      </w:pPr>
      <w:r>
        <w:t>6. ✅ Próximos pasos sugeridos</w:t>
      </w:r>
    </w:p>
    <w:p>
      <w:r>
        <w:t>[ ] Redactar acta privada de socios con roles, capital y participación.</w:t>
      </w:r>
    </w:p>
    <w:p>
      <w:r>
        <w:t>[ ] Armar modelo Excel de simulación de ingresos y fondos.</w:t>
      </w:r>
    </w:p>
    <w:p>
      <w:r>
        <w:t>[ ] Establecer reglas de retiro y reinversión del fondo del Club.</w:t>
      </w:r>
    </w:p>
    <w:p>
      <w:r>
        <w:t>[ ] Crear registro de ventas y producción por lote y productor.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