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Referencia Estratégica – Sistema Contable Bifurcado + Estructura Empresarial 13CC</w:t>
      </w:r>
    </w:p>
    <w:p>
      <w:r>
        <w:t>Este documento reúne consideraciones clave para el mantenimiento, expansión y eventual formalización del modelo contable y societario del Club 13CC. Sirve como contexto base para IA, futuros asesores o nuevos responsables del área contable y organizativa.</w:t>
      </w:r>
    </w:p>
    <w:p>
      <w:pPr>
        <w:pStyle w:val="Heading2"/>
      </w:pPr>
      <w:r>
        <w:t>🧮 Estructura General</w:t>
      </w:r>
    </w:p>
    <w:p>
      <w:pPr>
        <w:pStyle w:val="Heading3"/>
      </w:pPr>
      <w:r>
        <w:t>Sistema Bifurcado</w:t>
      </w:r>
    </w:p>
    <w:p>
      <w:r>
        <w:t>- WHITE (YING): contabilidad blanca – gastos documentables.</w:t>
        <w:br/>
        <w:t>- BLACK (YANG): ingresos reales no declarados (venta de producción).</w:t>
        <w:br/>
        <w:t>- Ambos convergen en la carpeta SÍNTESIS, que cruza ambos flujos y proyecta balances operativos y de reinversión.</w:t>
      </w:r>
    </w:p>
    <w:p>
      <w:pPr>
        <w:pStyle w:val="Heading3"/>
      </w:pPr>
      <w:r>
        <w:t>Participación Empresarial</w:t>
      </w:r>
    </w:p>
    <w:p>
      <w:r>
        <w:t>- 3 socios fundadores (Santi, Gory, Ariel) con 33% de participación cada uno.</w:t>
        <w:br/>
        <w:t>- Club retiene 12.5% del ingreso bruto por cada venta, destinado al fondo común para:</w:t>
        <w:br/>
        <w:t xml:space="preserve">  - Gastos operativos</w:t>
        <w:br/>
        <w:t xml:space="preserve">  - Reinversión</w:t>
        <w:br/>
        <w:t xml:space="preserve">  - Posible distribución anual</w:t>
      </w:r>
    </w:p>
    <w:p>
      <w:pPr>
        <w:pStyle w:val="Heading2"/>
      </w:pPr>
      <w:r>
        <w:t>🔐 Sugerencias Estratégicas para el Futuro</w:t>
      </w:r>
    </w:p>
    <w:p>
      <w:pPr>
        <w:pStyle w:val="Heading3"/>
      </w:pPr>
      <w:r>
        <w:t>1. Formalización progresiva</w:t>
      </w:r>
    </w:p>
    <w:p>
      <w:r>
        <w:t>- Si se comienza a mover más de ~$3M/mes en caja o se adquieren activos (galpón, vehículos), considerar:</w:t>
        <w:br/>
        <w:t xml:space="preserve">  - Contrato privado de socios</w:t>
        <w:br/>
        <w:t xml:space="preserve">  - Apertura de cuenta conjunta (aunque sea entre personas físicas)</w:t>
        <w:br/>
        <w:t xml:space="preserve">  - Monotributo o figura ONG/SRL a nombre de un tercero confiable</w:t>
      </w:r>
    </w:p>
    <w:p>
      <w:pPr>
        <w:pStyle w:val="Heading3"/>
      </w:pPr>
      <w:r>
        <w:t>2. Blindaje documental</w:t>
      </w:r>
    </w:p>
    <w:p>
      <w:r>
        <w:t>- Toda salida de dinero (blanco o negro) debe:</w:t>
        <w:br/>
        <w:t xml:space="preserve">  - Tener registro (en control_reservas_efectivo.md o similar)</w:t>
        <w:br/>
        <w:t xml:space="preserve">  - Incluir motivo y responsable</w:t>
        <w:br/>
        <w:t xml:space="preserve">  - Tener aprobación explícita (mínimo 2 de 3)</w:t>
      </w:r>
    </w:p>
    <w:p>
      <w:pPr>
        <w:pStyle w:val="Heading3"/>
      </w:pPr>
      <w:r>
        <w:t>3. Aporte externo y escalabilidad</w:t>
      </w:r>
    </w:p>
    <w:p>
      <w:r>
        <w:t>- Si ingresa un nuevo socio/productor:</w:t>
        <w:br/>
        <w:t xml:space="preserve">  - No se modifica el % societario automáticamente</w:t>
        <w:br/>
        <w:t xml:space="preserve">  - Se puede vincular bajo contrato de 'unidad productiva'</w:t>
        <w:br/>
        <w:t xml:space="preserve">  - Aporta % adicional al Club, pero no entra al directorio salvo acuerdo</w:t>
      </w:r>
    </w:p>
    <w:p>
      <w:pPr>
        <w:pStyle w:val="Heading3"/>
      </w:pPr>
      <w:r>
        <w:t>4. Auditoría interna</w:t>
      </w:r>
    </w:p>
    <w:p>
      <w:r>
        <w:t>- Cada trimestre, revisar:</w:t>
        <w:br/>
        <w:t xml:space="preserve">  - Concordancia entre producción y ventas (YANG)</w:t>
        <w:br/>
        <w:t xml:space="preserve">  - Qué % de YANG está cubriendo gastos de YING</w:t>
        <w:br/>
        <w:t xml:space="preserve">  - Evolución de proyecciones (carpeta SÍNTESIS)</w:t>
      </w:r>
    </w:p>
    <w:p>
      <w:pPr>
        <w:pStyle w:val="Heading3"/>
      </w:pPr>
      <w:r>
        <w:t>5. Eventual conversión legal del sistema</w:t>
      </w:r>
    </w:p>
    <w:p>
      <w:r>
        <w:t>- Si el Club se formaliza:</w:t>
        <w:br/>
        <w:t xml:space="preserve">  - YANG puede mutar a: donaciones, membresías, actividades de capacitación, convenios.</w:t>
        <w:br/>
        <w:t xml:space="preserve">  - YING se convierte en la base del balance legal.</w:t>
        <w:br/>
        <w:t xml:space="preserve">  - SÍNTESIS queda como herramienta interna para toma de decisiones.</w:t>
      </w:r>
    </w:p>
    <w:p>
      <w:pPr>
        <w:pStyle w:val="Heading2"/>
      </w:pPr>
      <w:r>
        <w:t>🧭 Criterio base de toma de decisiones</w:t>
      </w:r>
    </w:p>
    <w:p>
      <w:r>
        <w:t>“Toda decisión financiera debe priorizar: la sustentabilidad del Club, la transparencia interna y la equidad entre productores.”</w:t>
      </w:r>
    </w:p>
    <w:p>
      <w:r>
        <w:br/>
        <w:t>Actualizado: Semana 21 – Año 2025</w:t>
        <w:br/>
        <w:t>Autor: IA de gestión + Santiago Calvo</w:t>
        <w:br/>
        <w:t>Estado: Apto para oficialización futura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