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D8C7A"/>
          <w:sz w:val="40"/>
          <w:szCs w:val="40"/>
        </w:rPr>
        <w:t xml:space="preserve">LOUTAS Care</w:t>
      </w:r>
    </w:p>
    <w:p>
      <w:pPr>
        <w:spacing w:after="40"/>
        <w:jc w:val="center"/>
      </w:pPr>
      <w:r>
        <w:rPr>
          <w:b/>
          <w:bCs/>
          <w:color w:val="085041"/>
          <w:sz w:val="30"/>
          <w:szCs w:val="30"/>
        </w:rPr>
        <w:t xml:space="preserve">Phase 4 Completion Report — Governance</w:t>
      </w:r>
    </w:p>
    <w:p>
      <w:pPr>
        <w:spacing w:after="60"/>
        <w:jc w:val="center"/>
      </w:pPr>
      <w:r>
        <w:rPr>
          <w:i/>
          <w:iCs/>
          <w:color w:val="444444"/>
          <w:sz w:val="22"/>
          <w:szCs w:val="22"/>
        </w:rPr>
        <w:t xml:space="preserve">LOUTAS AI Engineering Framework (LAEF) — Prepared Baseline: LAEF v1.3</w:t>
      </w:r>
    </w:p>
    <w:p>
      <w:pPr>
        <w:pBdr>
          <w:bottom w:val="single" w:color="0D8C7A" w:sz="12" w:space="8"/>
        </w:pBdr>
        <w:jc w:val="center"/>
      </w:pPr>
      <w:r>
        <w:rPr>
          <w:sz w:val="8"/>
          <w:szCs w:val="8"/>
        </w:rPr>
        <w:t xml:space="preserve"/>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0D8C7A" w:val="clear"/>
            <w:tcMar>
              <w:top w:type="dxa" w:w="60"/>
              <w:left w:type="dxa" w:w="100"/>
              <w:bottom w:type="dxa" w:w="60"/>
              <w:right w:type="dxa" w:w="100"/>
            </w:tcMar>
          </w:tcPr>
          <w:p>
            <w:r>
              <w:rPr>
                <w:b/>
                <w:bCs/>
                <w:color w:val="FFFFFF"/>
                <w:sz w:val="20"/>
                <w:szCs w:val="20"/>
              </w:rPr>
              <w:t xml:space="preserve">Field</w:t>
            </w:r>
          </w:p>
        </w:tc>
        <w:tc>
          <w:tcPr>
            <w:tcW w:type="dxa" w:w="6360"/>
            <w:shd w:fill="0D8C7A" w:val="clear"/>
            <w:tcMar>
              <w:top w:type="dxa" w:w="60"/>
              <w:left w:type="dxa" w:w="100"/>
              <w:bottom w:type="dxa" w:w="60"/>
              <w:right w:type="dxa" w:w="100"/>
            </w:tcMar>
          </w:tcPr>
          <w:p>
            <w:r>
              <w:rPr>
                <w:b/>
                <w:bCs/>
                <w:color w:val="FFFFFF"/>
                <w:sz w:val="20"/>
                <w:szCs w:val="20"/>
              </w:rPr>
              <w:t xml:space="preserve">Value</w:t>
            </w:r>
          </w:p>
        </w:tc>
      </w:tr>
      <w:tr>
        <w:tc>
          <w:tcPr>
            <w:tcW w:type="dxa" w:w="3000"/>
            <w:tcMar>
              <w:top w:type="dxa" w:w="60"/>
              <w:left w:type="dxa" w:w="100"/>
              <w:bottom w:type="dxa" w:w="60"/>
              <w:right w:type="dxa" w:w="100"/>
            </w:tcMar>
          </w:tcPr>
          <w:p>
            <w:r>
              <w:rPr>
                <w:b/>
                <w:bCs/>
                <w:color w:val="444444"/>
                <w:sz w:val="20"/>
                <w:szCs w:val="20"/>
              </w:rPr>
              <w:t xml:space="preserve">Document Title</w:t>
            </w:r>
          </w:p>
        </w:tc>
        <w:tc>
          <w:tcPr>
            <w:tcW w:type="dxa" w:w="6360"/>
            <w:tcMar>
              <w:top w:type="dxa" w:w="60"/>
              <w:left w:type="dxa" w:w="100"/>
              <w:bottom w:type="dxa" w:w="60"/>
              <w:right w:type="dxa" w:w="100"/>
            </w:tcMar>
          </w:tcPr>
          <w:p>
            <w:r>
              <w:rPr>
                <w:b w:val="false"/>
                <w:bCs w:val="false"/>
                <w:color w:val="444444"/>
                <w:sz w:val="20"/>
                <w:szCs w:val="20"/>
              </w:rPr>
              <w:t xml:space="preserve">Phase 4 Completion Report — Governance</w:t>
            </w:r>
          </w:p>
        </w:tc>
      </w:tr>
      <w:tr>
        <w:tc>
          <w:tcPr>
            <w:tcW w:type="dxa" w:w="3000"/>
            <w:shd w:fill="F2F7F6" w:val="clear"/>
            <w:tcMar>
              <w:top w:type="dxa" w:w="60"/>
              <w:left w:type="dxa" w:w="100"/>
              <w:bottom w:type="dxa" w:w="60"/>
              <w:right w:type="dxa" w:w="100"/>
            </w:tcMar>
          </w:tcPr>
          <w:p>
            <w:r>
              <w:rPr>
                <w:b/>
                <w:bCs/>
                <w:color w:val="444444"/>
                <w:sz w:val="20"/>
                <w:szCs w:val="20"/>
              </w:rPr>
              <w:t xml:space="preserve">Book</w:t>
            </w:r>
          </w:p>
        </w:tc>
        <w:tc>
          <w:tcPr>
            <w:tcW w:type="dxa" w:w="6360"/>
            <w:shd w:fill="F2F7F6" w:val="clear"/>
            <w:tcMar>
              <w:top w:type="dxa" w:w="60"/>
              <w:left w:type="dxa" w:w="100"/>
              <w:bottom w:type="dxa" w:w="60"/>
              <w:right w:type="dxa" w:w="100"/>
            </w:tcMar>
          </w:tcPr>
          <w:p>
            <w:r>
              <w:rPr>
                <w:b w:val="false"/>
                <w:bCs w:val="false"/>
                <w:color w:val="444444"/>
                <w:sz w:val="20"/>
                <w:szCs w:val="20"/>
              </w:rPr>
              <w:t xml:space="preserve">LAEF — LOUTAS AI Engineering Framework</w:t>
            </w:r>
          </w:p>
        </w:tc>
      </w:tr>
      <w:tr>
        <w:tc>
          <w:tcPr>
            <w:tcW w:type="dxa" w:w="3000"/>
            <w:tcMar>
              <w:top w:type="dxa" w:w="60"/>
              <w:left w:type="dxa" w:w="100"/>
              <w:bottom w:type="dxa" w:w="60"/>
              <w:right w:type="dxa" w:w="100"/>
            </w:tcMar>
          </w:tcPr>
          <w:p>
            <w:r>
              <w:rPr>
                <w:b/>
                <w:bCs/>
                <w:color w:val="444444"/>
                <w:sz w:val="20"/>
                <w:szCs w:val="20"/>
              </w:rPr>
              <w:t xml:space="preserve">Knowledge Base Area</w:t>
            </w:r>
          </w:p>
        </w:tc>
        <w:tc>
          <w:tcPr>
            <w:tcW w:type="dxa" w:w="6360"/>
            <w:tcMar>
              <w:top w:type="dxa" w:w="60"/>
              <w:left w:type="dxa" w:w="100"/>
              <w:bottom w:type="dxa" w:w="60"/>
              <w:right w:type="dxa" w:w="100"/>
            </w:tcMar>
          </w:tcPr>
          <w:p>
            <w:r>
              <w:rPr>
                <w:b w:val="false"/>
                <w:bCs w:val="false"/>
                <w:color w:val="444444"/>
                <w:sz w:val="20"/>
                <w:szCs w:val="20"/>
              </w:rPr>
              <w:t xml:space="preserve">16-AI-Engineering-Framework</w:t>
            </w:r>
          </w:p>
        </w:tc>
      </w:tr>
      <w:tr>
        <w:tc>
          <w:tcPr>
            <w:tcW w:type="dxa" w:w="3000"/>
            <w:shd w:fill="F2F7F6" w:val="clear"/>
            <w:tcMar>
              <w:top w:type="dxa" w:w="60"/>
              <w:left w:type="dxa" w:w="100"/>
              <w:bottom w:type="dxa" w:w="60"/>
              <w:right w:type="dxa" w:w="100"/>
            </w:tcMar>
          </w:tcPr>
          <w:p>
            <w:r>
              <w:rPr>
                <w:b/>
                <w:bCs/>
                <w:color w:val="444444"/>
                <w:sz w:val="20"/>
                <w:szCs w:val="20"/>
              </w:rPr>
              <w:t xml:space="preserve">Prepared Baseline</w:t>
            </w:r>
          </w:p>
        </w:tc>
        <w:tc>
          <w:tcPr>
            <w:tcW w:type="dxa" w:w="6360"/>
            <w:shd w:fill="F2F7F6" w:val="clear"/>
            <w:tcMar>
              <w:top w:type="dxa" w:w="60"/>
              <w:left w:type="dxa" w:w="100"/>
              <w:bottom w:type="dxa" w:w="60"/>
              <w:right w:type="dxa" w:w="100"/>
            </w:tcMar>
          </w:tcPr>
          <w:p>
            <w:r>
              <w:rPr>
                <w:b w:val="false"/>
                <w:bCs w:val="false"/>
                <w:color w:val="444444"/>
                <w:sz w:val="20"/>
                <w:szCs w:val="20"/>
              </w:rPr>
              <w:t xml:space="preserve">LAEF v1.3 (pending release approval)</w:t>
            </w:r>
          </w:p>
        </w:tc>
      </w:tr>
      <w:tr>
        <w:tc>
          <w:tcPr>
            <w:tcW w:type="dxa" w:w="3000"/>
            <w:tcMar>
              <w:top w:type="dxa" w:w="60"/>
              <w:left w:type="dxa" w:w="100"/>
              <w:bottom w:type="dxa" w:w="60"/>
              <w:right w:type="dxa" w:w="100"/>
            </w:tcMar>
          </w:tcPr>
          <w:p>
            <w:r>
              <w:rPr>
                <w:b/>
                <w:bCs/>
                <w:color w:val="444444"/>
                <w:sz w:val="20"/>
                <w:szCs w:val="20"/>
              </w:rPr>
              <w:t xml:space="preserve">Status</w:t>
            </w:r>
          </w:p>
        </w:tc>
        <w:tc>
          <w:tcPr>
            <w:tcW w:type="dxa" w:w="6360"/>
            <w:tcMar>
              <w:top w:type="dxa" w:w="60"/>
              <w:left w:type="dxa" w:w="100"/>
              <w:bottom w:type="dxa" w:w="60"/>
              <w:right w:type="dxa" w:w="100"/>
            </w:tcMar>
          </w:tcPr>
          <w:p>
            <w:r>
              <w:rPr>
                <w:b w:val="false"/>
                <w:bCs w:val="false"/>
                <w:color w:val="444444"/>
                <w:sz w:val="20"/>
                <w:szCs w:val="20"/>
              </w:rPr>
              <w:t xml:space="preserve">Final</w:t>
            </w:r>
          </w:p>
        </w:tc>
      </w:tr>
      <w:tr>
        <w:tc>
          <w:tcPr>
            <w:tcW w:type="dxa" w:w="3000"/>
            <w:shd w:fill="F2F7F6" w:val="clear"/>
            <w:tcMar>
              <w:top w:type="dxa" w:w="60"/>
              <w:left w:type="dxa" w:w="100"/>
              <w:bottom w:type="dxa" w:w="60"/>
              <w:right w:type="dxa" w:w="100"/>
            </w:tcMar>
          </w:tcPr>
          <w:p>
            <w:r>
              <w:rPr>
                <w:b/>
                <w:bCs/>
                <w:color w:val="444444"/>
                <w:sz w:val="20"/>
                <w:szCs w:val="20"/>
              </w:rPr>
              <w:t xml:space="preserve">Owner</w:t>
            </w:r>
          </w:p>
        </w:tc>
        <w:tc>
          <w:tcPr>
            <w:tcW w:type="dxa" w:w="6360"/>
            <w:shd w:fill="F2F7F6" w:val="clear"/>
            <w:tcMar>
              <w:top w:type="dxa" w:w="60"/>
              <w:left w:type="dxa" w:w="100"/>
              <w:bottom w:type="dxa" w:w="60"/>
              <w:right w:type="dxa" w:w="100"/>
            </w:tcMar>
          </w:tcPr>
          <w:p>
            <w:r>
              <w:rPr>
                <w:b w:val="false"/>
                <w:bCs w:val="false"/>
                <w:color w:val="444444"/>
                <w:sz w:val="20"/>
                <w:szCs w:val="20"/>
              </w:rPr>
              <w:t xml:space="preserve">Enterprise AI Governance Office</w:t>
            </w:r>
          </w:p>
        </w:tc>
      </w:tr>
      <w:tr>
        <w:tc>
          <w:tcPr>
            <w:tcW w:type="dxa" w:w="3000"/>
            <w:tcMar>
              <w:top w:type="dxa" w:w="60"/>
              <w:left w:type="dxa" w:w="100"/>
              <w:bottom w:type="dxa" w:w="60"/>
              <w:right w:type="dxa" w:w="100"/>
            </w:tcMar>
          </w:tcPr>
          <w:p>
            <w:r>
              <w:rPr>
                <w:b/>
                <w:bCs/>
                <w:color w:val="444444"/>
                <w:sz w:val="20"/>
                <w:szCs w:val="20"/>
              </w:rPr>
              <w:t xml:space="preserve">Approval Authority</w:t>
            </w:r>
          </w:p>
        </w:tc>
        <w:tc>
          <w:tcPr>
            <w:tcW w:type="dxa" w:w="6360"/>
            <w:tcMar>
              <w:top w:type="dxa" w:w="60"/>
              <w:left w:type="dxa" w:w="100"/>
              <w:bottom w:type="dxa" w:w="60"/>
              <w:right w:type="dxa" w:w="100"/>
            </w:tcMar>
          </w:tcPr>
          <w:p>
            <w:r>
              <w:rPr>
                <w:b w:val="false"/>
                <w:bCs w:val="false"/>
                <w:color w:val="444444"/>
                <w:sz w:val="20"/>
                <w:szCs w:val="20"/>
              </w:rPr>
              <w:t xml:space="preserve">Product Owner</w:t>
            </w:r>
          </w:p>
        </w:tc>
      </w:tr>
      <w:tr>
        <w:tc>
          <w:tcPr>
            <w:tcW w:type="dxa" w:w="3000"/>
            <w:shd w:fill="F2F7F6" w:val="clear"/>
            <w:tcMar>
              <w:top w:type="dxa" w:w="60"/>
              <w:left w:type="dxa" w:w="100"/>
              <w:bottom w:type="dxa" w:w="60"/>
              <w:right w:type="dxa" w:w="100"/>
            </w:tcMar>
          </w:tcPr>
          <w:p>
            <w:r>
              <w:rPr>
                <w:b/>
                <w:bCs/>
                <w:color w:val="444444"/>
                <w:sz w:val="20"/>
                <w:szCs w:val="20"/>
              </w:rPr>
              <w:t xml:space="preserve">Date</w:t>
            </w:r>
          </w:p>
        </w:tc>
        <w:tc>
          <w:tcPr>
            <w:tcW w:type="dxa" w:w="6360"/>
            <w:shd w:fill="F2F7F6" w:val="clear"/>
            <w:tcMar>
              <w:top w:type="dxa" w:w="60"/>
              <w:left w:type="dxa" w:w="100"/>
              <w:bottom w:type="dxa" w:w="60"/>
              <w:right w:type="dxa" w:w="100"/>
            </w:tcMar>
          </w:tcPr>
          <w:p>
            <w:r>
              <w:rPr>
                <w:b w:val="false"/>
                <w:bCs w:val="false"/>
                <w:color w:val="444444"/>
                <w:sz w:val="20"/>
                <w:szCs w:val="20"/>
              </w:rPr>
              <w:t xml:space="preserve">2026-07-31</w:t>
            </w:r>
          </w:p>
        </w:tc>
      </w:tr>
    </w:tbl>
    <w:p>
      <w:r>
        <w:rPr>
          <w:sz w:val="8"/>
          <w:szCs w:val="8"/>
        </w:rPr>
        <w:t xml:space="preserve"/>
      </w:r>
    </w:p>
    <w:p>
      <w:pPr>
        <w:pStyle w:val="Heading1"/>
        <w:spacing w:after="120" w:before="280"/>
      </w:pPr>
      <w:r>
        <w:rPr>
          <w:b/>
          <w:bCs/>
          <w:color w:val="085041"/>
          <w:sz w:val="28"/>
          <w:szCs w:val="28"/>
        </w:rPr>
        <w:t xml:space="preserve">1. Executive Summary</w:t>
      </w:r>
    </w:p>
    <w:p>
      <w:pPr>
        <w:spacing w:after="120"/>
      </w:pPr>
      <w:r>
        <w:rPr>
          <w:color w:val="444444"/>
          <w:sz w:val="22"/>
          <w:szCs w:val="22"/>
        </w:rPr>
        <w:t xml:space="preserve">Phase 4 (Governance) of the LOUTAS AI Engineering Framework (LAEF) is complete. Phase 4 expanded the LAEF-005 Governance Overview into a full operational governance model through six documents — a scope-map blueprint (LAEF-022) and five detailed governance documents (LAEF-023 through LAEF-027).</w:t>
      </w:r>
    </w:p>
    <w:p>
      <w:pPr>
        <w:spacing w:after="120"/>
      </w:pPr>
      <w:r>
        <w:rPr>
          <w:color w:val="444444"/>
          <w:sz w:val="22"/>
          <w:szCs w:val="22"/>
        </w:rPr>
        <w:t xml:space="preserve">Each detailed document expands exactly one section of LAEF-005 under explicit anti-duplication rules, referencing rather than restating shared concepts. Together they specify decision rights, approval gates, exception handling, audit and traceability, and compliance verification. The result is prepared as the LAEF v1.3 baseline (pending release approval) and is ready for repository-wide validation.</w:t>
      </w:r>
    </w:p>
    <w:p>
      <w:pPr>
        <w:pStyle w:val="Heading1"/>
        <w:spacing w:after="120" w:before="280"/>
      </w:pPr>
      <w:r>
        <w:rPr>
          <w:b/>
          <w:bCs/>
          <w:color w:val="085041"/>
          <w:sz w:val="28"/>
          <w:szCs w:val="28"/>
        </w:rPr>
        <w:t xml:space="preserve">2. Phase Objectives</w:t>
      </w:r>
    </w:p>
    <w:p>
      <w:pPr>
        <w:pStyle w:val="ListParagraph"/>
        <w:numPr>
          <w:ilvl w:val="0"/>
          <w:numId w:val="1"/>
        </w:numPr>
        <w:spacing w:after="60"/>
      </w:pPr>
      <w:r>
        <w:rPr>
          <w:color w:val="444444"/>
          <w:sz w:val="22"/>
          <w:szCs w:val="22"/>
        </w:rPr>
        <w:t xml:space="preserve">Expand the LAEF-005 Governance Overview into detailed, operational governance without duplicating it.</w:t>
      </w:r>
    </w:p>
    <w:p>
      <w:pPr>
        <w:pStyle w:val="ListParagraph"/>
        <w:numPr>
          <w:ilvl w:val="0"/>
          <w:numId w:val="1"/>
        </w:numPr>
        <w:spacing w:after="60"/>
      </w:pPr>
      <w:r>
        <w:rPr>
          <w:color w:val="444444"/>
          <w:sz w:val="22"/>
          <w:szCs w:val="22"/>
        </w:rPr>
        <w:t xml:space="preserve">Specify the governance content that the Decision Engine (LAEF-017) applies at runtime.</w:t>
      </w:r>
    </w:p>
    <w:p>
      <w:pPr>
        <w:pStyle w:val="ListParagraph"/>
        <w:numPr>
          <w:ilvl w:val="0"/>
          <w:numId w:val="1"/>
        </w:numPr>
        <w:spacing w:after="60"/>
      </w:pPr>
      <w:r>
        <w:rPr>
          <w:color w:val="444444"/>
          <w:sz w:val="22"/>
          <w:szCs w:val="22"/>
        </w:rPr>
        <w:t xml:space="preserve">Establish a scope map binding each governance document to a single LAEF-005 section, preventing overlap.</w:t>
      </w:r>
    </w:p>
    <w:p>
      <w:pPr>
        <w:pStyle w:val="ListParagraph"/>
        <w:numPr>
          <w:ilvl w:val="0"/>
          <w:numId w:val="1"/>
        </w:numPr>
        <w:spacing w:after="60"/>
      </w:pPr>
      <w:r>
        <w:rPr>
          <w:color w:val="444444"/>
          <w:sz w:val="22"/>
          <w:szCs w:val="22"/>
        </w:rPr>
        <w:t xml:space="preserve">Conform to the LAEF-008 architectural constitution and preserve the v1.2 baseline unchanged.</w:t>
      </w:r>
    </w:p>
    <w:p>
      <w:pPr>
        <w:pStyle w:val="ListParagraph"/>
        <w:numPr>
          <w:ilvl w:val="0"/>
          <w:numId w:val="1"/>
        </w:numPr>
        <w:spacing w:after="60"/>
      </w:pPr>
      <w:r>
        <w:rPr>
          <w:color w:val="444444"/>
          <w:sz w:val="22"/>
          <w:szCs w:val="22"/>
        </w:rPr>
        <w:t xml:space="preserve">Prepare the LAEF v1.3 governance baseline.</w:t>
      </w:r>
    </w:p>
    <w:p>
      <w:pPr>
        <w:pStyle w:val="Heading1"/>
        <w:spacing w:after="120" w:before="280"/>
      </w:pPr>
      <w:r>
        <w:rPr>
          <w:b/>
          <w:bCs/>
          <w:color w:val="085041"/>
          <w:sz w:val="28"/>
          <w:szCs w:val="28"/>
        </w:rPr>
        <w:t xml:space="preserve">3. Documents Completed (LAEF-022 through LAEF-027)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4600"/>
        <w:gridCol w:w="2010"/>
        <w:gridCol w:w="1500"/>
      </w:tblGrid>
      <w:tr>
        <w:trPr>
          <w:tblHeader/>
        </w:trPr>
        <w:tc>
          <w:tcPr>
            <w:tcW w:type="dxa" w:w="1250"/>
            <w:shd w:fill="0D8C7A" w:val="clear"/>
            <w:tcMar>
              <w:top w:type="dxa" w:w="60"/>
              <w:left w:type="dxa" w:w="100"/>
              <w:bottom w:type="dxa" w:w="60"/>
              <w:right w:type="dxa" w:w="100"/>
            </w:tcMar>
          </w:tcPr>
          <w:p>
            <w:r>
              <w:rPr>
                <w:b/>
                <w:bCs/>
                <w:color w:val="FFFFFF"/>
                <w:sz w:val="20"/>
                <w:szCs w:val="20"/>
              </w:rPr>
              <w:t xml:space="preserve">ID</w:t>
            </w:r>
          </w:p>
        </w:tc>
        <w:tc>
          <w:tcPr>
            <w:tcW w:type="dxa" w:w="4600"/>
            <w:shd w:fill="0D8C7A" w:val="clear"/>
            <w:tcMar>
              <w:top w:type="dxa" w:w="60"/>
              <w:left w:type="dxa" w:w="100"/>
              <w:bottom w:type="dxa" w:w="60"/>
              <w:right w:type="dxa" w:w="100"/>
            </w:tcMar>
          </w:tcPr>
          <w:p>
            <w:r>
              <w:rPr>
                <w:b/>
                <w:bCs/>
                <w:color w:val="FFFFFF"/>
                <w:sz w:val="20"/>
                <w:szCs w:val="20"/>
              </w:rPr>
              <w:t xml:space="preserve">Title</w:t>
            </w:r>
          </w:p>
        </w:tc>
        <w:tc>
          <w:tcPr>
            <w:tcW w:type="dxa" w:w="2010"/>
            <w:shd w:fill="0D8C7A" w:val="clear"/>
            <w:tcMar>
              <w:top w:type="dxa" w:w="60"/>
              <w:left w:type="dxa" w:w="100"/>
              <w:bottom w:type="dxa" w:w="60"/>
              <w:right w:type="dxa" w:w="100"/>
            </w:tcMar>
          </w:tcPr>
          <w:p>
            <w:r>
              <w:rPr>
                <w:b/>
                <w:bCs/>
                <w:color w:val="FFFFFF"/>
                <w:sz w:val="20"/>
                <w:szCs w:val="20"/>
              </w:rPr>
              <w:t xml:space="preserve">Expands LAEF-005</w:t>
            </w:r>
          </w:p>
        </w:tc>
        <w:tc>
          <w:tcPr>
            <w:tcW w:type="dxa" w:w="1500"/>
            <w:shd w:fill="0D8C7A" w:val="clear"/>
            <w:tcMar>
              <w:top w:type="dxa" w:w="60"/>
              <w:left w:type="dxa" w:w="100"/>
              <w:bottom w:type="dxa" w:w="60"/>
              <w:right w:type="dxa" w:w="100"/>
            </w:tcMar>
          </w:tcPr>
          <w:p>
            <w:r>
              <w:rPr>
                <w:b/>
                <w:bCs/>
                <w:color w:val="FFFFFF"/>
                <w:sz w:val="20"/>
                <w:szCs w:val="20"/>
              </w:rPr>
              <w:t xml:space="preserve">Status</w:t>
            </w:r>
          </w:p>
        </w:tc>
      </w:tr>
      <w:tr>
        <w:tc>
          <w:tcPr>
            <w:tcW w:type="dxa" w:w="1250"/>
            <w:tcMar>
              <w:top w:type="dxa" w:w="60"/>
              <w:left w:type="dxa" w:w="100"/>
              <w:bottom w:type="dxa" w:w="60"/>
              <w:right w:type="dxa" w:w="100"/>
            </w:tcMar>
          </w:tcPr>
          <w:p>
            <w:r>
              <w:rPr>
                <w:b w:val="false"/>
                <w:bCs w:val="false"/>
                <w:color w:val="444444"/>
                <w:sz w:val="20"/>
                <w:szCs w:val="20"/>
              </w:rPr>
              <w:t xml:space="preserve">LAEF-022</w:t>
            </w:r>
          </w:p>
        </w:tc>
        <w:tc>
          <w:tcPr>
            <w:tcW w:type="dxa" w:w="4600"/>
            <w:tcMar>
              <w:top w:type="dxa" w:w="60"/>
              <w:left w:type="dxa" w:w="100"/>
              <w:bottom w:type="dxa" w:w="60"/>
              <w:right w:type="dxa" w:w="100"/>
            </w:tcMar>
          </w:tcPr>
          <w:p>
            <w:r>
              <w:rPr>
                <w:b w:val="false"/>
                <w:bCs w:val="false"/>
                <w:color w:val="444444"/>
                <w:sz w:val="20"/>
                <w:szCs w:val="20"/>
              </w:rPr>
              <w:t xml:space="preserve">Governance Detail Design Specification</w:t>
            </w:r>
          </w:p>
        </w:tc>
        <w:tc>
          <w:tcPr>
            <w:tcW w:type="dxa" w:w="2010"/>
            <w:tcMar>
              <w:top w:type="dxa" w:w="60"/>
              <w:left w:type="dxa" w:w="100"/>
              <w:bottom w:type="dxa" w:w="60"/>
              <w:right w:type="dxa" w:w="100"/>
            </w:tcMar>
          </w:tcPr>
          <w:p>
            <w:r>
              <w:rPr>
                <w:b w:val="false"/>
                <w:bCs w:val="false"/>
                <w:color w:val="444444"/>
                <w:sz w:val="20"/>
                <w:szCs w:val="20"/>
              </w:rPr>
              <w:t xml:space="preserve">Scope map</w:t>
            </w:r>
          </w:p>
        </w:tc>
        <w:tc>
          <w:tcPr>
            <w:tcW w:type="dxa" w:w="1500"/>
            <w:tcMar>
              <w:top w:type="dxa" w:w="60"/>
              <w:left w:type="dxa" w:w="100"/>
              <w:bottom w:type="dxa" w:w="60"/>
              <w:right w:type="dxa" w:w="100"/>
            </w:tcMar>
          </w:tcPr>
          <w:p>
            <w:r>
              <w:rPr>
                <w:b w:val="false"/>
                <w:bCs w:val="false"/>
                <w:color w:val="444444"/>
                <w:sz w:val="20"/>
                <w:szCs w:val="20"/>
              </w:rPr>
              <w:t xml:space="preserve">Approved</w:t>
            </w:r>
          </w:p>
        </w:tc>
      </w:tr>
      <w:tr>
        <w:tc>
          <w:tcPr>
            <w:tcW w:type="dxa" w:w="1250"/>
            <w:shd w:fill="F2F7F6" w:val="clear"/>
            <w:tcMar>
              <w:top w:type="dxa" w:w="60"/>
              <w:left w:type="dxa" w:w="100"/>
              <w:bottom w:type="dxa" w:w="60"/>
              <w:right w:type="dxa" w:w="100"/>
            </w:tcMar>
          </w:tcPr>
          <w:p>
            <w:r>
              <w:rPr>
                <w:b w:val="false"/>
                <w:bCs w:val="false"/>
                <w:color w:val="444444"/>
                <w:sz w:val="20"/>
                <w:szCs w:val="20"/>
              </w:rPr>
              <w:t xml:space="preserve">LAEF-023</w:t>
            </w:r>
          </w:p>
        </w:tc>
        <w:tc>
          <w:tcPr>
            <w:tcW w:type="dxa" w:w="4600"/>
            <w:shd w:fill="F2F7F6" w:val="clear"/>
            <w:tcMar>
              <w:top w:type="dxa" w:w="60"/>
              <w:left w:type="dxa" w:w="100"/>
              <w:bottom w:type="dxa" w:w="60"/>
              <w:right w:type="dxa" w:w="100"/>
            </w:tcMar>
          </w:tcPr>
          <w:p>
            <w:r>
              <w:rPr>
                <w:b w:val="false"/>
                <w:bCs w:val="false"/>
                <w:color w:val="444444"/>
                <w:sz w:val="20"/>
                <w:szCs w:val="20"/>
              </w:rPr>
              <w:t xml:space="preserve">Decision-Rights &amp; Authority Matrix</w:t>
            </w:r>
          </w:p>
        </w:tc>
        <w:tc>
          <w:tcPr>
            <w:tcW w:type="dxa" w:w="2010"/>
            <w:shd w:fill="F2F7F6" w:val="clear"/>
            <w:tcMar>
              <w:top w:type="dxa" w:w="60"/>
              <w:left w:type="dxa" w:w="100"/>
              <w:bottom w:type="dxa" w:w="60"/>
              <w:right w:type="dxa" w:w="100"/>
            </w:tcMar>
          </w:tcPr>
          <w:p>
            <w:r>
              <w:rPr>
                <w:b w:val="false"/>
                <w:bCs w:val="false"/>
                <w:color w:val="444444"/>
                <w:sz w:val="20"/>
                <w:szCs w:val="20"/>
              </w:rPr>
              <w:t xml:space="preserve">§3 Roles</w:t>
            </w:r>
          </w:p>
        </w:tc>
        <w:tc>
          <w:tcPr>
            <w:tcW w:type="dxa" w:w="1500"/>
            <w:shd w:fill="F2F7F6" w:val="clear"/>
            <w:tcMar>
              <w:top w:type="dxa" w:w="60"/>
              <w:left w:type="dxa" w:w="100"/>
              <w:bottom w:type="dxa" w:w="60"/>
              <w:right w:type="dxa" w:w="100"/>
            </w:tcMar>
          </w:tcPr>
          <w:p>
            <w:r>
              <w:rPr>
                <w:b w:val="false"/>
                <w:bCs w:val="false"/>
                <w:color w:val="444444"/>
                <w:sz w:val="20"/>
                <w:szCs w:val="20"/>
              </w:rPr>
              <w:t xml:space="preserve">Approved</w:t>
            </w:r>
          </w:p>
        </w:tc>
      </w:tr>
      <w:tr>
        <w:tc>
          <w:tcPr>
            <w:tcW w:type="dxa" w:w="1250"/>
            <w:tcMar>
              <w:top w:type="dxa" w:w="60"/>
              <w:left w:type="dxa" w:w="100"/>
              <w:bottom w:type="dxa" w:w="60"/>
              <w:right w:type="dxa" w:w="100"/>
            </w:tcMar>
          </w:tcPr>
          <w:p>
            <w:r>
              <w:rPr>
                <w:b w:val="false"/>
                <w:bCs w:val="false"/>
                <w:color w:val="444444"/>
                <w:sz w:val="20"/>
                <w:szCs w:val="20"/>
              </w:rPr>
              <w:t xml:space="preserve">LAEF-024</w:t>
            </w:r>
          </w:p>
        </w:tc>
        <w:tc>
          <w:tcPr>
            <w:tcW w:type="dxa" w:w="4600"/>
            <w:tcMar>
              <w:top w:type="dxa" w:w="60"/>
              <w:left w:type="dxa" w:w="100"/>
              <w:bottom w:type="dxa" w:w="60"/>
              <w:right w:type="dxa" w:w="100"/>
            </w:tcMar>
          </w:tcPr>
          <w:p>
            <w:r>
              <w:rPr>
                <w:b w:val="false"/>
                <w:bCs w:val="false"/>
                <w:color w:val="444444"/>
                <w:sz w:val="20"/>
                <w:szCs w:val="20"/>
              </w:rPr>
              <w:t xml:space="preserve">Approval Gates Specification</w:t>
            </w:r>
          </w:p>
        </w:tc>
        <w:tc>
          <w:tcPr>
            <w:tcW w:type="dxa" w:w="2010"/>
            <w:tcMar>
              <w:top w:type="dxa" w:w="60"/>
              <w:left w:type="dxa" w:w="100"/>
              <w:bottom w:type="dxa" w:w="60"/>
              <w:right w:type="dxa" w:w="100"/>
            </w:tcMar>
          </w:tcPr>
          <w:p>
            <w:r>
              <w:rPr>
                <w:b w:val="false"/>
                <w:bCs w:val="false"/>
                <w:color w:val="444444"/>
                <w:sz w:val="20"/>
                <w:szCs w:val="20"/>
              </w:rPr>
              <w:t xml:space="preserve">§4 Approvals</w:t>
            </w:r>
          </w:p>
        </w:tc>
        <w:tc>
          <w:tcPr>
            <w:tcW w:type="dxa" w:w="1500"/>
            <w:tcMar>
              <w:top w:type="dxa" w:w="60"/>
              <w:left w:type="dxa" w:w="100"/>
              <w:bottom w:type="dxa" w:w="60"/>
              <w:right w:type="dxa" w:w="100"/>
            </w:tcMar>
          </w:tcPr>
          <w:p>
            <w:r>
              <w:rPr>
                <w:b w:val="false"/>
                <w:bCs w:val="false"/>
                <w:color w:val="444444"/>
                <w:sz w:val="20"/>
                <w:szCs w:val="20"/>
              </w:rPr>
              <w:t xml:space="preserve">Approved</w:t>
            </w:r>
          </w:p>
        </w:tc>
      </w:tr>
      <w:tr>
        <w:tc>
          <w:tcPr>
            <w:tcW w:type="dxa" w:w="1250"/>
            <w:shd w:fill="F2F7F6" w:val="clear"/>
            <w:tcMar>
              <w:top w:type="dxa" w:w="60"/>
              <w:left w:type="dxa" w:w="100"/>
              <w:bottom w:type="dxa" w:w="60"/>
              <w:right w:type="dxa" w:w="100"/>
            </w:tcMar>
          </w:tcPr>
          <w:p>
            <w:r>
              <w:rPr>
                <w:b w:val="false"/>
                <w:bCs w:val="false"/>
                <w:color w:val="444444"/>
                <w:sz w:val="20"/>
                <w:szCs w:val="20"/>
              </w:rPr>
              <w:t xml:space="preserve">LAEF-025</w:t>
            </w:r>
          </w:p>
        </w:tc>
        <w:tc>
          <w:tcPr>
            <w:tcW w:type="dxa" w:w="4600"/>
            <w:shd w:fill="F2F7F6" w:val="clear"/>
            <w:tcMar>
              <w:top w:type="dxa" w:w="60"/>
              <w:left w:type="dxa" w:w="100"/>
              <w:bottom w:type="dxa" w:w="60"/>
              <w:right w:type="dxa" w:w="100"/>
            </w:tcMar>
          </w:tcPr>
          <w:p>
            <w:r>
              <w:rPr>
                <w:b w:val="false"/>
                <w:bCs w:val="false"/>
                <w:color w:val="444444"/>
                <w:sz w:val="20"/>
                <w:szCs w:val="20"/>
              </w:rPr>
              <w:t xml:space="preserve">Exception Handling Procedure</w:t>
            </w:r>
          </w:p>
        </w:tc>
        <w:tc>
          <w:tcPr>
            <w:tcW w:type="dxa" w:w="2010"/>
            <w:shd w:fill="F2F7F6" w:val="clear"/>
            <w:tcMar>
              <w:top w:type="dxa" w:w="60"/>
              <w:left w:type="dxa" w:w="100"/>
              <w:bottom w:type="dxa" w:w="60"/>
              <w:right w:type="dxa" w:w="100"/>
            </w:tcMar>
          </w:tcPr>
          <w:p>
            <w:r>
              <w:rPr>
                <w:b w:val="false"/>
                <w:bCs w:val="false"/>
                <w:color w:val="444444"/>
                <w:sz w:val="20"/>
                <w:szCs w:val="20"/>
              </w:rPr>
              <w:t xml:space="preserve">§7 Exceptions</w:t>
            </w:r>
          </w:p>
        </w:tc>
        <w:tc>
          <w:tcPr>
            <w:tcW w:type="dxa" w:w="1500"/>
            <w:shd w:fill="F2F7F6" w:val="clear"/>
            <w:tcMar>
              <w:top w:type="dxa" w:w="60"/>
              <w:left w:type="dxa" w:w="100"/>
              <w:bottom w:type="dxa" w:w="60"/>
              <w:right w:type="dxa" w:w="100"/>
            </w:tcMar>
          </w:tcPr>
          <w:p>
            <w:r>
              <w:rPr>
                <w:b w:val="false"/>
                <w:bCs w:val="false"/>
                <w:color w:val="444444"/>
                <w:sz w:val="20"/>
                <w:szCs w:val="20"/>
              </w:rPr>
              <w:t xml:space="preserve">Approved</w:t>
            </w:r>
          </w:p>
        </w:tc>
      </w:tr>
      <w:tr>
        <w:tc>
          <w:tcPr>
            <w:tcW w:type="dxa" w:w="1250"/>
            <w:tcMar>
              <w:top w:type="dxa" w:w="60"/>
              <w:left w:type="dxa" w:w="100"/>
              <w:bottom w:type="dxa" w:w="60"/>
              <w:right w:type="dxa" w:w="100"/>
            </w:tcMar>
          </w:tcPr>
          <w:p>
            <w:r>
              <w:rPr>
                <w:b w:val="false"/>
                <w:bCs w:val="false"/>
                <w:color w:val="444444"/>
                <w:sz w:val="20"/>
                <w:szCs w:val="20"/>
              </w:rPr>
              <w:t xml:space="preserve">LAEF-026</w:t>
            </w:r>
          </w:p>
        </w:tc>
        <w:tc>
          <w:tcPr>
            <w:tcW w:type="dxa" w:w="4600"/>
            <w:tcMar>
              <w:top w:type="dxa" w:w="60"/>
              <w:left w:type="dxa" w:w="100"/>
              <w:bottom w:type="dxa" w:w="60"/>
              <w:right w:type="dxa" w:w="100"/>
            </w:tcMar>
          </w:tcPr>
          <w:p>
            <w:r>
              <w:rPr>
                <w:b w:val="false"/>
                <w:bCs w:val="false"/>
                <w:color w:val="444444"/>
                <w:sz w:val="20"/>
                <w:szCs w:val="20"/>
              </w:rPr>
              <w:t xml:space="preserve">Audit &amp; Traceability Specification</w:t>
            </w:r>
          </w:p>
        </w:tc>
        <w:tc>
          <w:tcPr>
            <w:tcW w:type="dxa" w:w="2010"/>
            <w:tcMar>
              <w:top w:type="dxa" w:w="60"/>
              <w:left w:type="dxa" w:w="100"/>
              <w:bottom w:type="dxa" w:w="60"/>
              <w:right w:type="dxa" w:w="100"/>
            </w:tcMar>
          </w:tcPr>
          <w:p>
            <w:r>
              <w:rPr>
                <w:b w:val="false"/>
                <w:bCs w:val="false"/>
                <w:color w:val="444444"/>
                <w:sz w:val="20"/>
                <w:szCs w:val="20"/>
              </w:rPr>
              <w:t xml:space="preserve">§9 Auditability</w:t>
            </w:r>
          </w:p>
        </w:tc>
        <w:tc>
          <w:tcPr>
            <w:tcW w:type="dxa" w:w="1500"/>
            <w:tcMar>
              <w:top w:type="dxa" w:w="60"/>
              <w:left w:type="dxa" w:w="100"/>
              <w:bottom w:type="dxa" w:w="60"/>
              <w:right w:type="dxa" w:w="100"/>
            </w:tcMar>
          </w:tcPr>
          <w:p>
            <w:r>
              <w:rPr>
                <w:b w:val="false"/>
                <w:bCs w:val="false"/>
                <w:color w:val="444444"/>
                <w:sz w:val="20"/>
                <w:szCs w:val="20"/>
              </w:rPr>
              <w:t xml:space="preserve">Approved</w:t>
            </w:r>
          </w:p>
        </w:tc>
      </w:tr>
      <w:tr>
        <w:tc>
          <w:tcPr>
            <w:tcW w:type="dxa" w:w="1250"/>
            <w:shd w:fill="F2F7F6" w:val="clear"/>
            <w:tcMar>
              <w:top w:type="dxa" w:w="60"/>
              <w:left w:type="dxa" w:w="100"/>
              <w:bottom w:type="dxa" w:w="60"/>
              <w:right w:type="dxa" w:w="100"/>
            </w:tcMar>
          </w:tcPr>
          <w:p>
            <w:r>
              <w:rPr>
                <w:b w:val="false"/>
                <w:bCs w:val="false"/>
                <w:color w:val="444444"/>
                <w:sz w:val="20"/>
                <w:szCs w:val="20"/>
              </w:rPr>
              <w:t xml:space="preserve">LAEF-027</w:t>
            </w:r>
          </w:p>
        </w:tc>
        <w:tc>
          <w:tcPr>
            <w:tcW w:type="dxa" w:w="4600"/>
            <w:shd w:fill="F2F7F6" w:val="clear"/>
            <w:tcMar>
              <w:top w:type="dxa" w:w="60"/>
              <w:left w:type="dxa" w:w="100"/>
              <w:bottom w:type="dxa" w:w="60"/>
              <w:right w:type="dxa" w:w="100"/>
            </w:tcMar>
          </w:tcPr>
          <w:p>
            <w:r>
              <w:rPr>
                <w:b w:val="false"/>
                <w:bCs w:val="false"/>
                <w:color w:val="444444"/>
                <w:sz w:val="20"/>
                <w:szCs w:val="20"/>
              </w:rPr>
              <w:t xml:space="preserve">Compliance Verification Procedure</w:t>
            </w:r>
          </w:p>
        </w:tc>
        <w:tc>
          <w:tcPr>
            <w:tcW w:type="dxa" w:w="2010"/>
            <w:shd w:fill="F2F7F6" w:val="clear"/>
            <w:tcMar>
              <w:top w:type="dxa" w:w="60"/>
              <w:left w:type="dxa" w:w="100"/>
              <w:bottom w:type="dxa" w:w="60"/>
              <w:right w:type="dxa" w:w="100"/>
            </w:tcMar>
          </w:tcPr>
          <w:p>
            <w:r>
              <w:rPr>
                <w:b w:val="false"/>
                <w:bCs w:val="false"/>
                <w:color w:val="444444"/>
                <w:sz w:val="20"/>
                <w:szCs w:val="20"/>
              </w:rPr>
              <w:t xml:space="preserve">§5–§6</w:t>
            </w:r>
          </w:p>
        </w:tc>
        <w:tc>
          <w:tcPr>
            <w:tcW w:type="dxa" w:w="1500"/>
            <w:shd w:fill="F2F7F6" w:val="clear"/>
            <w:tcMar>
              <w:top w:type="dxa" w:w="60"/>
              <w:left w:type="dxa" w:w="100"/>
              <w:bottom w:type="dxa" w:w="60"/>
              <w:right w:type="dxa" w:w="100"/>
            </w:tcMar>
          </w:tcPr>
          <w:p>
            <w:r>
              <w:rPr>
                <w:b w:val="false"/>
                <w:bCs w:val="false"/>
                <w:color w:val="444444"/>
                <w:sz w:val="20"/>
                <w:szCs w:val="20"/>
              </w:rPr>
              <w:t xml:space="preserve">Approved</w:t>
            </w:r>
          </w:p>
        </w:tc>
      </w:tr>
    </w:tbl>
    <w:p>
      <w:pPr>
        <w:pStyle w:val="Heading1"/>
        <w:spacing w:after="120" w:before="280"/>
      </w:pPr>
      <w:r>
        <w:rPr>
          <w:b/>
          <w:bCs/>
          <w:color w:val="085041"/>
          <w:sz w:val="28"/>
          <w:szCs w:val="28"/>
        </w:rPr>
        <w:t xml:space="preserve">4. Key Governance Capabilities Introduced</w:t>
      </w:r>
    </w:p>
    <w:p>
      <w:pPr>
        <w:pStyle w:val="ListParagraph"/>
        <w:numPr>
          <w:ilvl w:val="0"/>
          <w:numId w:val="1"/>
        </w:numPr>
        <w:spacing w:after="60"/>
      </w:pPr>
      <w:r>
        <w:rPr>
          <w:color w:val="444444"/>
          <w:sz w:val="22"/>
          <w:szCs w:val="22"/>
        </w:rPr>
        <w:t xml:space="preserve">A detailed decision-rights and authority matrix defining who decides and approves each class of work, with a single accountable owner per decision and human authority always final.</w:t>
      </w:r>
    </w:p>
    <w:p>
      <w:pPr>
        <w:pStyle w:val="ListParagraph"/>
        <w:numPr>
          <w:ilvl w:val="0"/>
          <w:numId w:val="1"/>
        </w:numPr>
        <w:spacing w:after="60"/>
      </w:pPr>
      <w:r>
        <w:rPr>
          <w:color w:val="444444"/>
          <w:sz w:val="22"/>
          <w:szCs w:val="22"/>
        </w:rPr>
        <w:t xml:space="preserve">Named approval gates (Planning/Design, Document Approval, ADR, Phase Completion, Release) each with entry criteria, activities, exit criteria, and failure outcomes.</w:t>
      </w:r>
    </w:p>
    <w:p>
      <w:pPr>
        <w:pStyle w:val="ListParagraph"/>
        <w:numPr>
          <w:ilvl w:val="0"/>
          <w:numId w:val="1"/>
        </w:numPr>
        <w:spacing w:after="60"/>
      </w:pPr>
      <w:r>
        <w:rPr>
          <w:color w:val="444444"/>
          <w:sz w:val="22"/>
          <w:szCs w:val="22"/>
        </w:rPr>
        <w:t xml:space="preserve">A governed, scoped, time-bound exception process backed by an append-only Exception Register, where every renewal is a new approval.</w:t>
      </w:r>
    </w:p>
    <w:p>
      <w:pPr>
        <w:pStyle w:val="ListParagraph"/>
        <w:numPr>
          <w:ilvl w:val="0"/>
          <w:numId w:val="1"/>
        </w:numPr>
        <w:spacing w:after="60"/>
      </w:pPr>
      <w:r>
        <w:rPr>
          <w:color w:val="444444"/>
          <w:sz w:val="22"/>
          <w:szCs w:val="22"/>
        </w:rPr>
        <w:t xml:space="preserve">An audit and traceability specification defining record structures, retention, and a traceability chain from any artifact to its authorization and grounding.</w:t>
      </w:r>
    </w:p>
    <w:p>
      <w:pPr>
        <w:pStyle w:val="ListParagraph"/>
        <w:numPr>
          <w:ilvl w:val="0"/>
          <w:numId w:val="1"/>
        </w:numPr>
        <w:spacing w:after="60"/>
      </w:pPr>
      <w:r>
        <w:rPr>
          <w:color w:val="444444"/>
          <w:sz w:val="22"/>
          <w:szCs w:val="22"/>
        </w:rPr>
        <w:t xml:space="preserve">An evidence-based compliance verification procedure performed at the gates, consuming Quality Engine results and audit evidence.</w:t>
      </w:r>
    </w:p>
    <w:p>
      <w:pPr>
        <w:pStyle w:val="ListParagraph"/>
        <w:numPr>
          <w:ilvl w:val="0"/>
          <w:numId w:val="1"/>
        </w:numPr>
        <w:spacing w:after="60"/>
      </w:pPr>
      <w:r>
        <w:rPr>
          <w:color w:val="444444"/>
          <w:sz w:val="22"/>
          <w:szCs w:val="22"/>
        </w:rPr>
        <w:t xml:space="preserve">A preventive, non-punitive enforcement model whose purpose is to preserve architectural integrity, consistency, quality, and traceability.</w:t>
      </w:r>
    </w:p>
    <w:p>
      <w:pPr>
        <w:pStyle w:val="Heading1"/>
        <w:spacing w:after="120" w:before="280"/>
      </w:pPr>
      <w:r>
        <w:rPr>
          <w:b/>
          <w:bCs/>
          <w:color w:val="085041"/>
          <w:sz w:val="28"/>
          <w:szCs w:val="28"/>
        </w:rPr>
        <w:t xml:space="preserve">5. Cross-Document Consistency Status</w:t>
      </w:r>
    </w:p>
    <w:p>
      <w:pPr>
        <w:spacing w:after="120"/>
      </w:pPr>
      <w:r>
        <w:rPr>
          <w:color w:val="444444"/>
          <w:sz w:val="22"/>
          <w:szCs w:val="22"/>
        </w:rPr>
        <w:t xml:space="preserve">A cross-document consistency check across the six Phase 4 documents confirmed:</w:t>
      </w:r>
    </w:p>
    <w:p>
      <w:pPr>
        <w:pStyle w:val="ListParagraph"/>
        <w:numPr>
          <w:ilvl w:val="0"/>
          <w:numId w:val="1"/>
        </w:numPr>
        <w:spacing w:after="60"/>
      </w:pPr>
      <w:r>
        <w:rPr>
          <w:color w:val="444444"/>
          <w:sz w:val="22"/>
          <w:szCs w:val="22"/>
        </w:rPr>
        <w:t xml:space="preserve">Each document expands exactly one LAEF-005 section (023→§3, 024→§4, 025→§7, 026→§9, 027→§5–§6), with LAEF-022 as the scope map.</w:t>
      </w:r>
    </w:p>
    <w:p>
      <w:pPr>
        <w:pStyle w:val="ListParagraph"/>
        <w:numPr>
          <w:ilvl w:val="0"/>
          <w:numId w:val="1"/>
        </w:numPr>
        <w:spacing w:after="60"/>
      </w:pPr>
      <w:r>
        <w:rPr>
          <w:color w:val="444444"/>
          <w:sz w:val="22"/>
          <w:szCs w:val="22"/>
        </w:rPr>
        <w:t xml:space="preserve">Shared concepts — roles, gates, exceptions, audit — are cross-referenced, not duplicated, honoring the LAEF-022 anti-duplication rules.</w:t>
      </w:r>
    </w:p>
    <w:p>
      <w:pPr>
        <w:pStyle w:val="ListParagraph"/>
        <w:numPr>
          <w:ilvl w:val="0"/>
          <w:numId w:val="1"/>
        </w:numPr>
        <w:spacing w:after="60"/>
      </w:pPr>
      <w:r>
        <w:rPr>
          <w:color w:val="444444"/>
          <w:sz w:val="22"/>
          <w:szCs w:val="22"/>
        </w:rPr>
        <w:t xml:space="preserve">All cross-references between Phase 4 documents resolve; no broken references were found.</w:t>
      </w:r>
    </w:p>
    <w:p>
      <w:pPr>
        <w:pStyle w:val="ListParagraph"/>
        <w:numPr>
          <w:ilvl w:val="0"/>
          <w:numId w:val="1"/>
        </w:numPr>
        <w:spacing w:after="60"/>
      </w:pPr>
      <w:r>
        <w:rPr>
          <w:color w:val="444444"/>
          <w:sz w:val="22"/>
          <w:szCs w:val="22"/>
        </w:rPr>
        <w:t xml:space="preserve">All diagrams are balanced (paired Mermaid and PlantUML) and each document carries a conformance table.</w:t>
      </w:r>
    </w:p>
    <w:p>
      <w:pPr>
        <w:pStyle w:val="ListParagraph"/>
        <w:numPr>
          <w:ilvl w:val="0"/>
          <w:numId w:val="1"/>
        </w:numPr>
        <w:spacing w:after="60"/>
      </w:pPr>
      <w:r>
        <w:rPr>
          <w:color w:val="444444"/>
          <w:sz w:val="22"/>
          <w:szCs w:val="22"/>
        </w:rPr>
        <w:t xml:space="preserve">LAEF-005 remains the authoritative overview and was not modified.</w:t>
      </w:r>
    </w:p>
    <w:p>
      <w:pPr>
        <w:pStyle w:val="Heading1"/>
        <w:spacing w:after="120" w:before="280"/>
      </w:pPr>
      <w:r>
        <w:rPr>
          <w:b/>
          <w:bCs/>
          <w:color w:val="085041"/>
          <w:sz w:val="28"/>
          <w:szCs w:val="28"/>
        </w:rPr>
        <w:t xml:space="preserve">6. Overall Completion Assessment</w:t>
      </w:r>
    </w:p>
    <w:p>
      <w:pPr>
        <w:spacing w:after="120"/>
      </w:pPr>
      <w:r>
        <w:rPr>
          <w:color w:val="444444"/>
          <w:sz w:val="22"/>
          <w:szCs w:val="22"/>
        </w:rPr>
        <w:t xml:space="preserve">Phase 4 objectives are fully met. The operational governance model outlined by LAEF-005 is now specified in detail across LAEF-023 through LAEF-027, under the LAEF-022 scope map. The phase is additive and backward-compatible: no v1.0, v1.1, or v1.2 document was changed, and no open exception blocks the work. The governance baseline is coherent and ready to release as LAEF v1.3.</w:t>
      </w:r>
    </w:p>
    <w:p>
      <w:pPr>
        <w:pStyle w:val="Heading1"/>
        <w:spacing w:after="120" w:before="280"/>
      </w:pPr>
      <w:r>
        <w:rPr>
          <w:b/>
          <w:bCs/>
          <w:color w:val="085041"/>
          <w:sz w:val="28"/>
          <w:szCs w:val="28"/>
        </w:rPr>
        <w:t xml:space="preserve">7. Remaining Recommendations Before Release</w:t>
      </w:r>
    </w:p>
    <w:p>
      <w:pPr>
        <w:pStyle w:val="ListParagraph"/>
        <w:numPr>
          <w:ilvl w:val="0"/>
          <w:numId w:val="1"/>
        </w:numPr>
        <w:spacing w:after="60"/>
      </w:pPr>
      <w:r>
        <w:rPr>
          <w:color w:val="444444"/>
          <w:sz w:val="22"/>
          <w:szCs w:val="22"/>
        </w:rPr>
        <w:t xml:space="preserve">Perform the repository-wide consistency validation across the full package (document IDs, cross-references, obsolete references, diagram balance).</w:t>
      </w:r>
    </w:p>
    <w:p>
      <w:pPr>
        <w:pStyle w:val="ListParagraph"/>
        <w:numPr>
          <w:ilvl w:val="0"/>
          <w:numId w:val="1"/>
        </w:numPr>
        <w:spacing w:after="60"/>
      </w:pPr>
      <w:r>
        <w:rPr>
          <w:color w:val="444444"/>
          <w:sz w:val="22"/>
          <w:szCs w:val="22"/>
        </w:rPr>
        <w:t xml:space="preserve">Update CHANGELOG.md, create RELEASE_NOTES_v1.3.md, and update MASTER_INDEX.md and PROJECT_STATUS.md.</w:t>
      </w:r>
    </w:p>
    <w:p>
      <w:pPr>
        <w:pStyle w:val="ListParagraph"/>
        <w:numPr>
          <w:ilvl w:val="0"/>
          <w:numId w:val="1"/>
        </w:numPr>
        <w:spacing w:after="60"/>
      </w:pPr>
      <w:r>
        <w:rPr>
          <w:color w:val="444444"/>
          <w:sz w:val="22"/>
          <w:szCs w:val="22"/>
        </w:rPr>
        <w:t xml:space="preserve">Obtain Product Owner approval of the LAEF v1.3 Release Manifest.</w:t>
      </w:r>
    </w:p>
    <w:p>
      <w:pPr>
        <w:pStyle w:val="ListParagraph"/>
        <w:numPr>
          <w:ilvl w:val="0"/>
          <w:numId w:val="1"/>
        </w:numPr>
        <w:spacing w:after="60"/>
      </w:pPr>
      <w:r>
        <w:rPr>
          <w:color w:val="444444"/>
          <w:sz w:val="22"/>
          <w:szCs w:val="22"/>
        </w:rPr>
        <w:t xml:space="preserve">Optional housekeeping: a LICENSE file is still absent and remains a Product Owner decision; the Phase 4 Completion Report may be added under the releases folder.</w:t>
      </w:r>
    </w:p>
    <w:p>
      <w:pPr>
        <w:pStyle w:val="Heading1"/>
        <w:spacing w:after="120" w:before="280"/>
      </w:pPr>
      <w:r>
        <w:rPr>
          <w:b/>
          <w:bCs/>
          <w:color w:val="085041"/>
          <w:sz w:val="28"/>
          <w:szCs w:val="28"/>
        </w:rPr>
        <w:t xml:space="preserve">8. Confirmation</w:t>
      </w:r>
    </w:p>
    <w:p>
      <w:pPr>
        <w:spacing w:after="120"/>
      </w:pPr>
      <w:r>
        <w:rPr>
          <w:color w:val="444444"/>
          <w:sz w:val="22"/>
          <w:szCs w:val="22"/>
        </w:rPr>
        <w:t xml:space="preserve">Phase 4 — Governance is complete. All six documents (LAEF-022 through LAEF-027) are approved, internally consistent, and conformant to LAEF-008 and the LAEF-022 scope map. Phase 4 is ready for repository-wide validation and the generation of the official LAEF v1.3 GitHub-ready release package.</w:t>
      </w:r>
    </w:p>
    <w:p>
      <w:r>
        <w:rPr>
          <w:sz w:val="8"/>
          <w:szCs w:val="8"/>
        </w:rPr>
        <w:t xml:space="preserve"/>
      </w:r>
    </w:p>
    <w:p>
      <w:pPr>
        <w:pBdr>
          <w:top w:val="single" w:color="0D8C7A" w:sz="8" w:space="8"/>
        </w:pBdr>
        <w:jc w:val="center"/>
      </w:pPr>
      <w:r>
        <w:rPr>
          <w:i/>
          <w:iCs/>
          <w:color w:val="444444"/>
          <w:sz w:val="18"/>
          <w:szCs w:val="18"/>
        </w:rPr>
        <w:t xml:space="preserve">End of Phase 4 Completion Report — LOUTAS AI Engineering Framework (prepared for LAEF v1.3)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LAEF Phase 4 Completion Report</dc:title>
  <dc:creator>Enterprise AI Governance Office</dc:creator>
  <cp:lastModifiedBy>Un-named</cp:lastModifiedBy>
  <cp:revision>1</cp:revision>
  <dcterms:created xsi:type="dcterms:W3CDTF">2026-08-01T06:39:08.743Z</dcterms:created>
  <dcterms:modified xsi:type="dcterms:W3CDTF">2026-08-01T06:39:08.771Z</dcterms:modified>
</cp:coreProperties>
</file>

<file path=docProps/custom.xml><?xml version="1.0" encoding="utf-8"?>
<Properties xmlns="http://schemas.openxmlformats.org/officeDocument/2006/custom-properties" xmlns:vt="http://schemas.openxmlformats.org/officeDocument/2006/docPropsVTypes"/>
</file>