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D8C7A"/>
          <w:sz w:val="40"/>
          <w:szCs w:val="40"/>
        </w:rPr>
        <w:t xml:space="preserve">LOUTAS Care</w:t>
      </w:r>
    </w:p>
    <w:p>
      <w:pPr>
        <w:spacing w:after="40"/>
        <w:jc w:val="center"/>
      </w:pPr>
      <w:r>
        <w:rPr>
          <w:b/>
          <w:bCs/>
          <w:color w:val="085041"/>
          <w:sz w:val="30"/>
          <w:szCs w:val="30"/>
        </w:rPr>
        <w:t xml:space="preserve">LAEF v1.3 — Baseline Readiness Review</w:t>
      </w:r>
    </w:p>
    <w:p>
      <w:pPr>
        <w:spacing w:after="60"/>
        <w:jc w:val="center"/>
      </w:pPr>
      <w:r>
        <w:rPr>
          <w:i/>
          <w:iCs/>
          <w:color w:val="444444"/>
          <w:sz w:val="22"/>
          <w:szCs w:val="22"/>
        </w:rPr>
        <w:t xml:space="preserve">Evaluation of LAEF v1.3 as the Official Permanent Engineering Baseline</w:t>
      </w:r>
    </w:p>
    <w:p>
      <w:pPr>
        <w:pBdr>
          <w:bottom w:val="single" w:color="0D8C7A" w:sz="12" w:space="8"/>
        </w:pBdr>
        <w:jc w:val="center"/>
      </w:pPr>
      <w:r>
        <w:rPr>
          <w:sz w:val="8"/>
          <w:szCs w:val="8"/>
        </w:rPr>
        <w:t xml:space="preserve"/>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D8C7A" w:val="clear"/>
            <w:tcMar>
              <w:top w:type="dxa" w:w="60"/>
              <w:left w:type="dxa" w:w="100"/>
              <w:bottom w:type="dxa" w:w="60"/>
              <w:right w:type="dxa" w:w="100"/>
            </w:tcMar>
          </w:tcPr>
          <w:p>
            <w:r>
              <w:rPr>
                <w:b/>
                <w:bCs/>
                <w:color w:val="FFFFFF"/>
                <w:sz w:val="20"/>
                <w:szCs w:val="20"/>
              </w:rPr>
              <w:t xml:space="preserve">Field</w:t>
            </w:r>
          </w:p>
        </w:tc>
        <w:tc>
          <w:tcPr>
            <w:tcW w:type="dxa" w:w="6360"/>
            <w:shd w:fill="0D8C7A" w:val="clear"/>
            <w:tcMar>
              <w:top w:type="dxa" w:w="60"/>
              <w:left w:type="dxa" w:w="100"/>
              <w:bottom w:type="dxa" w:w="60"/>
              <w:right w:type="dxa" w:w="100"/>
            </w:tcMar>
          </w:tcPr>
          <w:p>
            <w:r>
              <w:rPr>
                <w:b/>
                <w:bCs/>
                <w:color w:val="FFFFFF"/>
                <w:sz w:val="20"/>
                <w:szCs w:val="20"/>
              </w:rPr>
              <w:t xml:space="preserve">Value</w:t>
            </w:r>
          </w:p>
        </w:tc>
      </w:tr>
      <w:tr>
        <w:tc>
          <w:tcPr>
            <w:tcW w:type="dxa" w:w="3000"/>
            <w:tcMar>
              <w:top w:type="dxa" w:w="60"/>
              <w:left w:type="dxa" w:w="100"/>
              <w:bottom w:type="dxa" w:w="60"/>
              <w:right w:type="dxa" w:w="100"/>
            </w:tcMar>
          </w:tcPr>
          <w:p>
            <w:r>
              <w:rPr>
                <w:b/>
                <w:bCs/>
                <w:color w:val="444444"/>
                <w:sz w:val="20"/>
                <w:szCs w:val="20"/>
              </w:rPr>
              <w:t xml:space="preserve">Document Title</w:t>
            </w:r>
          </w:p>
        </w:tc>
        <w:tc>
          <w:tcPr>
            <w:tcW w:type="dxa" w:w="6360"/>
            <w:tcMar>
              <w:top w:type="dxa" w:w="60"/>
              <w:left w:type="dxa" w:w="100"/>
              <w:bottom w:type="dxa" w:w="60"/>
              <w:right w:type="dxa" w:w="100"/>
            </w:tcMar>
          </w:tcPr>
          <w:p>
            <w:r>
              <w:rPr>
                <w:b w:val="false"/>
                <w:bCs w:val="false"/>
                <w:color w:val="444444"/>
                <w:sz w:val="20"/>
                <w:szCs w:val="20"/>
              </w:rPr>
              <w:t xml:space="preserve">LAEF v1.3 Baseline Readiness Review</w:t>
            </w:r>
          </w:p>
        </w:tc>
      </w:tr>
      <w:tr>
        <w:tc>
          <w:tcPr>
            <w:tcW w:type="dxa" w:w="3000"/>
            <w:shd w:fill="F2F7F6" w:val="clear"/>
            <w:tcMar>
              <w:top w:type="dxa" w:w="60"/>
              <w:left w:type="dxa" w:w="100"/>
              <w:bottom w:type="dxa" w:w="60"/>
              <w:right w:type="dxa" w:w="100"/>
            </w:tcMar>
          </w:tcPr>
          <w:p>
            <w:r>
              <w:rPr>
                <w:b/>
                <w:bCs/>
                <w:color w:val="444444"/>
                <w:sz w:val="20"/>
                <w:szCs w:val="20"/>
              </w:rPr>
              <w:t xml:space="preserve">Book</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LAEF — LOUTAS AI Engineering Framework</w:t>
            </w:r>
          </w:p>
        </w:tc>
      </w:tr>
      <w:tr>
        <w:tc>
          <w:tcPr>
            <w:tcW w:type="dxa" w:w="3000"/>
            <w:tcMar>
              <w:top w:type="dxa" w:w="60"/>
              <w:left w:type="dxa" w:w="100"/>
              <w:bottom w:type="dxa" w:w="60"/>
              <w:right w:type="dxa" w:w="100"/>
            </w:tcMar>
          </w:tcPr>
          <w:p>
            <w:r>
              <w:rPr>
                <w:b/>
                <w:bCs/>
                <w:color w:val="444444"/>
                <w:sz w:val="20"/>
                <w:szCs w:val="20"/>
              </w:rPr>
              <w:t xml:space="preserve">Baseline Under Review</w:t>
            </w:r>
          </w:p>
        </w:tc>
        <w:tc>
          <w:tcPr>
            <w:tcW w:type="dxa" w:w="6360"/>
            <w:tcMar>
              <w:top w:type="dxa" w:w="60"/>
              <w:left w:type="dxa" w:w="100"/>
              <w:bottom w:type="dxa" w:w="60"/>
              <w:right w:type="dxa" w:w="100"/>
            </w:tcMar>
          </w:tcPr>
          <w:p>
            <w:r>
              <w:rPr>
                <w:b w:val="false"/>
                <w:bCs w:val="false"/>
                <w:color w:val="444444"/>
                <w:sz w:val="20"/>
                <w:szCs w:val="20"/>
              </w:rPr>
              <w:t xml:space="preserve">LAEF v1.3 (Released)</w:t>
            </w:r>
          </w:p>
        </w:tc>
      </w:tr>
      <w:tr>
        <w:tc>
          <w:tcPr>
            <w:tcW w:type="dxa" w:w="3000"/>
            <w:shd w:fill="F2F7F6" w:val="clear"/>
            <w:tcMar>
              <w:top w:type="dxa" w:w="60"/>
              <w:left w:type="dxa" w:w="100"/>
              <w:bottom w:type="dxa" w:w="60"/>
              <w:right w:type="dxa" w:w="100"/>
            </w:tcMar>
          </w:tcPr>
          <w:p>
            <w:r>
              <w:rPr>
                <w:b/>
                <w:bCs/>
                <w:color w:val="444444"/>
                <w:sz w:val="20"/>
                <w:szCs w:val="20"/>
              </w:rPr>
              <w:t xml:space="preserve">Status</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Final</w:t>
            </w:r>
          </w:p>
        </w:tc>
      </w:tr>
      <w:tr>
        <w:tc>
          <w:tcPr>
            <w:tcW w:type="dxa" w:w="3000"/>
            <w:tcMar>
              <w:top w:type="dxa" w:w="60"/>
              <w:left w:type="dxa" w:w="100"/>
              <w:bottom w:type="dxa" w:w="60"/>
              <w:right w:type="dxa" w:w="100"/>
            </w:tcMar>
          </w:tcPr>
          <w:p>
            <w:r>
              <w:rPr>
                <w:b/>
                <w:bCs/>
                <w:color w:val="444444"/>
                <w:sz w:val="20"/>
                <w:szCs w:val="20"/>
              </w:rPr>
              <w:t xml:space="preserve">Owner</w:t>
            </w:r>
          </w:p>
        </w:tc>
        <w:tc>
          <w:tcPr>
            <w:tcW w:type="dxa" w:w="6360"/>
            <w:tcMar>
              <w:top w:type="dxa" w:w="60"/>
              <w:left w:type="dxa" w:w="100"/>
              <w:bottom w:type="dxa" w:w="60"/>
              <w:right w:type="dxa" w:w="100"/>
            </w:tcMar>
          </w:tcPr>
          <w:p>
            <w:r>
              <w:rPr>
                <w:b w:val="false"/>
                <w:bCs w:val="false"/>
                <w:color w:val="444444"/>
                <w:sz w:val="20"/>
                <w:szCs w:val="20"/>
              </w:rPr>
              <w:t xml:space="preserve">Enterprise AI Governance Office</w:t>
            </w:r>
          </w:p>
        </w:tc>
      </w:tr>
      <w:tr>
        <w:tc>
          <w:tcPr>
            <w:tcW w:type="dxa" w:w="3000"/>
            <w:shd w:fill="F2F7F6" w:val="clear"/>
            <w:tcMar>
              <w:top w:type="dxa" w:w="60"/>
              <w:left w:type="dxa" w:w="100"/>
              <w:bottom w:type="dxa" w:w="60"/>
              <w:right w:type="dxa" w:w="100"/>
            </w:tcMar>
          </w:tcPr>
          <w:p>
            <w:r>
              <w:rPr>
                <w:b/>
                <w:bCs/>
                <w:color w:val="444444"/>
                <w:sz w:val="20"/>
                <w:szCs w:val="20"/>
              </w:rPr>
              <w:t xml:space="preserve">Approval Authority</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Product Owner</w:t>
            </w:r>
          </w:p>
        </w:tc>
      </w:tr>
      <w:tr>
        <w:tc>
          <w:tcPr>
            <w:tcW w:type="dxa" w:w="3000"/>
            <w:tcMar>
              <w:top w:type="dxa" w:w="60"/>
              <w:left w:type="dxa" w:w="100"/>
              <w:bottom w:type="dxa" w:w="60"/>
              <w:right w:type="dxa" w:w="100"/>
            </w:tcMar>
          </w:tcPr>
          <w:p>
            <w:r>
              <w:rPr>
                <w:b/>
                <w:bCs/>
                <w:color w:val="444444"/>
                <w:sz w:val="20"/>
                <w:szCs w:val="20"/>
              </w:rPr>
              <w:t xml:space="preserve">Date</w:t>
            </w:r>
          </w:p>
        </w:tc>
        <w:tc>
          <w:tcPr>
            <w:tcW w:type="dxa" w:w="6360"/>
            <w:tcMar>
              <w:top w:type="dxa" w:w="60"/>
              <w:left w:type="dxa" w:w="100"/>
              <w:bottom w:type="dxa" w:w="60"/>
              <w:right w:type="dxa" w:w="100"/>
            </w:tcMar>
          </w:tcPr>
          <w:p>
            <w:r>
              <w:rPr>
                <w:b w:val="false"/>
                <w:bCs w:val="false"/>
                <w:color w:val="444444"/>
                <w:sz w:val="20"/>
                <w:szCs w:val="20"/>
              </w:rPr>
              <w:t xml:space="preserve">2026-07-31</w:t>
            </w:r>
          </w:p>
        </w:tc>
      </w:tr>
      <w:tr>
        <w:tc>
          <w:tcPr>
            <w:tcW w:type="dxa" w:w="3000"/>
            <w:shd w:fill="F2F7F6" w:val="clear"/>
            <w:tcMar>
              <w:top w:type="dxa" w:w="60"/>
              <w:left w:type="dxa" w:w="100"/>
              <w:bottom w:type="dxa" w:w="60"/>
              <w:right w:type="dxa" w:w="100"/>
            </w:tcMar>
          </w:tcPr>
          <w:p>
            <w:r>
              <w:rPr>
                <w:b/>
                <w:bCs/>
                <w:color w:val="444444"/>
                <w:sz w:val="20"/>
                <w:szCs w:val="20"/>
              </w:rPr>
              <w:t xml:space="preserve">Recommendation</w:t>
            </w:r>
          </w:p>
        </w:tc>
        <w:tc>
          <w:tcPr>
            <w:tcW w:type="dxa" w:w="6360"/>
            <w:shd w:fill="F2F7F6" w:val="clear"/>
            <w:tcMar>
              <w:top w:type="dxa" w:w="60"/>
              <w:left w:type="dxa" w:w="100"/>
              <w:bottom w:type="dxa" w:w="60"/>
              <w:right w:type="dxa" w:w="100"/>
            </w:tcMar>
          </w:tcPr>
          <w:p>
            <w:r>
              <w:rPr>
                <w:b w:val="false"/>
                <w:bCs w:val="false"/>
                <w:color w:val="444444"/>
                <w:sz w:val="20"/>
                <w:szCs w:val="20"/>
              </w:rPr>
              <w:t xml:space="preserve">GO</w:t>
            </w:r>
          </w:p>
        </w:tc>
      </w:tr>
    </w:tbl>
    <w:p>
      <w:r>
        <w:rPr>
          <w:sz w:val="8"/>
          <w:szCs w:val="8"/>
        </w:rPr>
        <w:t xml:space="preserve"/>
      </w:r>
    </w:p>
    <w:p>
      <w:pPr>
        <w:pStyle w:val="Heading1"/>
        <w:spacing w:after="110" w:before="260"/>
      </w:pPr>
      <w:r>
        <w:rPr>
          <w:b/>
          <w:bCs/>
          <w:color w:val="085041"/>
          <w:sz w:val="28"/>
          <w:szCs w:val="28"/>
        </w:rPr>
        <w:t xml:space="preserve">1. Executive Summary</w:t>
      </w:r>
    </w:p>
    <w:p>
      <w:pPr>
        <w:spacing w:after="120"/>
      </w:pPr>
      <w:r>
        <w:rPr>
          <w:color w:val="444444"/>
          <w:sz w:val="22"/>
          <w:szCs w:val="22"/>
        </w:rPr>
        <w:t xml:space="preserve">LAEF v1.3 is complete, internally consistent, fully governed, and ready to serve as the permanent engineering baseline for LOUTAS products. Phases 1 through 4 — Foundation, Layer Architecture, Core Engines, and Governance — are complete, delivered across four additive, backward-compatible releases (v1.0 to v1.3) comprising 28 documents in the 16-AI-Engineering-Framework area.</w:t>
      </w:r>
    </w:p>
    <w:p>
      <w:pPr>
        <w:spacing w:after="120"/>
      </w:pPr>
      <w:r>
        <w:rPr>
          <w:color w:val="444444"/>
          <w:sz w:val="22"/>
          <w:szCs w:val="22"/>
        </w:rPr>
        <w:t xml:space="preserve">The repository has been validated end to end, packaged as a GitHub-ready deliverable, and protected with a proprietary All-Rights-Reserved license. On the evidence in this review, the recommendation is GO: LAEF v1.3 is ready to be frozen as the official engineering framework, with all future change routed through approved ADRs and future releases.</w:t>
      </w:r>
    </w:p>
    <w:p>
      <w:pPr>
        <w:pStyle w:val="Heading1"/>
        <w:spacing w:after="110" w:before="260"/>
      </w:pPr>
      <w:r>
        <w:rPr>
          <w:b/>
          <w:bCs/>
          <w:color w:val="085041"/>
          <w:sz w:val="28"/>
          <w:szCs w:val="28"/>
        </w:rPr>
        <w:t xml:space="preserve">2. Architecture Readiness</w:t>
      </w:r>
    </w:p>
    <w:p>
      <w:pPr>
        <w:spacing w:after="120"/>
      </w:pPr>
      <w:r>
        <w:rPr>
          <w:color w:val="444444"/>
          <w:sz w:val="22"/>
          <w:szCs w:val="22"/>
        </w:rPr>
        <w:t xml:space="preserve">The architecture is complete and coherent:</w:t>
      </w:r>
    </w:p>
    <w:p>
      <w:pPr>
        <w:pStyle w:val="ListParagraph"/>
        <w:numPr>
          <w:ilvl w:val="0"/>
          <w:numId w:val="1"/>
        </w:numPr>
        <w:spacing w:after="60"/>
      </w:pPr>
      <w:r>
        <w:rPr>
          <w:color w:val="444444"/>
          <w:sz w:val="22"/>
          <w:szCs w:val="22"/>
        </w:rPr>
        <w:t xml:space="preserve">Nine layers across four tiers (LAEF-004), governed by the architectural constitution LAEF-008, with every tier detailed in LAEF-009 through LAEF-012.</w:t>
      </w:r>
    </w:p>
    <w:p>
      <w:pPr>
        <w:pStyle w:val="ListParagraph"/>
        <w:numPr>
          <w:ilvl w:val="0"/>
          <w:numId w:val="1"/>
        </w:numPr>
        <w:spacing w:after="60"/>
      </w:pPr>
      <w:r>
        <w:rPr>
          <w:color w:val="444444"/>
          <w:sz w:val="22"/>
          <w:szCs w:val="22"/>
        </w:rPr>
        <w:t xml:space="preserve">Eight core engines (LAEF-013 through LAEF-021) realize the layers, each reusing its layer contract as its interface — no new interfaces invented.</w:t>
      </w:r>
    </w:p>
    <w:p>
      <w:pPr>
        <w:pStyle w:val="ListParagraph"/>
        <w:numPr>
          <w:ilvl w:val="0"/>
          <w:numId w:val="1"/>
        </w:numPr>
        <w:spacing w:after="60"/>
      </w:pPr>
      <w:r>
        <w:rPr>
          <w:color w:val="444444"/>
          <w:sz w:val="22"/>
          <w:szCs w:val="22"/>
        </w:rPr>
        <w:t xml:space="preserve">Nine formal contracts defined (CoreInvariants, Governance, Knowledge, Context, Agent, Workflow, Playbook, Quality, Learning).</w:t>
      </w:r>
    </w:p>
    <w:p>
      <w:pPr>
        <w:pStyle w:val="ListParagraph"/>
        <w:numPr>
          <w:ilvl w:val="0"/>
          <w:numId w:val="1"/>
        </w:numPr>
        <w:spacing w:after="60"/>
      </w:pPr>
      <w:r>
        <w:rPr>
          <w:color w:val="444444"/>
          <w:sz w:val="22"/>
          <w:szCs w:val="22"/>
        </w:rPr>
        <w:t xml:space="preserve">Invariants preserved: model-agnostic construction with a single model boundary (Agent Engine); a single upward feedback edge (Learning Engine); an acyclic dependency graph; knowledge-first and human-in-the-loop throughout.</w:t>
      </w:r>
    </w:p>
    <w:p>
      <w:pPr>
        <w:pStyle w:val="ListParagraph"/>
        <w:numPr>
          <w:ilvl w:val="0"/>
          <w:numId w:val="1"/>
        </w:numPr>
        <w:spacing w:after="60"/>
      </w:pPr>
      <w:r>
        <w:rPr>
          <w:color w:val="444444"/>
          <w:sz w:val="22"/>
          <w:szCs w:val="22"/>
        </w:rPr>
        <w:t xml:space="preserve">Every architecture and engine document carries a LAEF-008 conformance table.</w:t>
      </w:r>
    </w:p>
    <w:p>
      <w:pPr>
        <w:spacing w:after="120" w:before="40"/>
      </w:pPr>
      <w:r>
        <w:rPr>
          <w:color w:val="444444"/>
          <w:sz w:val="22"/>
          <w:szCs w:val="22"/>
        </w:rPr>
        <w:t xml:space="preserve">Assessment: Architecture is READY.</w:t>
      </w:r>
    </w:p>
    <w:p>
      <w:pPr>
        <w:pStyle w:val="Heading1"/>
        <w:spacing w:after="110" w:before="260"/>
      </w:pPr>
      <w:r>
        <w:rPr>
          <w:b/>
          <w:bCs/>
          <w:color w:val="085041"/>
          <w:sz w:val="28"/>
          <w:szCs w:val="28"/>
        </w:rPr>
        <w:t xml:space="preserve">3. Governance Readiness</w:t>
      </w:r>
    </w:p>
    <w:p>
      <w:pPr>
        <w:spacing w:after="120"/>
      </w:pPr>
      <w:r>
        <w:rPr>
          <w:color w:val="444444"/>
          <w:sz w:val="22"/>
          <w:szCs w:val="22"/>
        </w:rPr>
        <w:t xml:space="preserve">Governance is fully specified from overview to operational detail:</w:t>
      </w:r>
    </w:p>
    <w:p>
      <w:pPr>
        <w:pStyle w:val="ListParagraph"/>
        <w:numPr>
          <w:ilvl w:val="0"/>
          <w:numId w:val="1"/>
        </w:numPr>
        <w:spacing w:after="60"/>
      </w:pPr>
      <w:r>
        <w:rPr>
          <w:color w:val="444444"/>
          <w:sz w:val="22"/>
          <w:szCs w:val="22"/>
        </w:rPr>
        <w:t xml:space="preserve">LAEF-005 provides the governance overview; Phase 4 (LAEF-022 through LAEF-027) expands it into decision rights, approval gates, exception handling, audit and traceability, and compliance verification.</w:t>
      </w:r>
    </w:p>
    <w:p>
      <w:pPr>
        <w:pStyle w:val="ListParagraph"/>
        <w:numPr>
          <w:ilvl w:val="0"/>
          <w:numId w:val="1"/>
        </w:numPr>
        <w:spacing w:after="60"/>
      </w:pPr>
      <w:r>
        <w:rPr>
          <w:color w:val="444444"/>
          <w:sz w:val="22"/>
          <w:szCs w:val="22"/>
        </w:rPr>
        <w:t xml:space="preserve">Each Phase 4 document expands exactly one LAEF-005 section under the LAEF-022 anti-duplication rules; LAEF-005 remains the authoritative overview.</w:t>
      </w:r>
    </w:p>
    <w:p>
      <w:pPr>
        <w:pStyle w:val="ListParagraph"/>
        <w:numPr>
          <w:ilvl w:val="0"/>
          <w:numId w:val="1"/>
        </w:numPr>
        <w:spacing w:after="60"/>
      </w:pPr>
      <w:r>
        <w:rPr>
          <w:color w:val="444444"/>
          <w:sz w:val="22"/>
          <w:szCs w:val="22"/>
        </w:rPr>
        <w:t xml:space="preserve">Architectural Decision Governance (LAEF-008 §14) is in force, with ADR-011 recorded in the ADR directory.</w:t>
      </w:r>
    </w:p>
    <w:p>
      <w:pPr>
        <w:pStyle w:val="ListParagraph"/>
        <w:numPr>
          <w:ilvl w:val="0"/>
          <w:numId w:val="1"/>
        </w:numPr>
        <w:spacing w:after="60"/>
      </w:pPr>
      <w:r>
        <w:rPr>
          <w:color w:val="444444"/>
          <w:sz w:val="22"/>
          <w:szCs w:val="22"/>
        </w:rPr>
        <w:t xml:space="preserve">Every document was approved through the human approval gate; the AI Agent never self-approves; approvals are recorded in each document's revision history.</w:t>
      </w:r>
    </w:p>
    <w:p>
      <w:pPr>
        <w:spacing w:after="120" w:before="40"/>
      </w:pPr>
      <w:r>
        <w:rPr>
          <w:color w:val="444444"/>
          <w:sz w:val="22"/>
          <w:szCs w:val="22"/>
        </w:rPr>
        <w:t xml:space="preserve">Assessment: Governance is READY.</w:t>
      </w:r>
    </w:p>
    <w:p>
      <w:pPr>
        <w:pStyle w:val="Heading1"/>
        <w:spacing w:after="110" w:before="260"/>
      </w:pPr>
      <w:r>
        <w:rPr>
          <w:b/>
          <w:bCs/>
          <w:color w:val="085041"/>
          <w:sz w:val="28"/>
          <w:szCs w:val="28"/>
        </w:rPr>
        <w:t xml:space="preserve">4. Repository Readiness</w:t>
      </w:r>
    </w:p>
    <w:p>
      <w:pPr>
        <w:spacing w:after="120"/>
      </w:pPr>
      <w:r>
        <w:rPr>
          <w:color w:val="444444"/>
          <w:sz w:val="22"/>
          <w:szCs w:val="22"/>
        </w:rPr>
        <w:t xml:space="preserve">The repository passed full validation and preserves the established structure:</w:t>
      </w:r>
    </w:p>
    <w:p>
      <w:pPr>
        <w:pStyle w:val="ListParagraph"/>
        <w:numPr>
          <w:ilvl w:val="0"/>
          <w:numId w:val="1"/>
        </w:numPr>
        <w:spacing w:after="60"/>
      </w:pPr>
      <w:r>
        <w:rPr>
          <w:color w:val="444444"/>
          <w:sz w:val="22"/>
          <w:szCs w:val="22"/>
        </w:rPr>
        <w:t xml:space="preserve">28 unique document IDs; all cross-references resolve; no broken, obsolete, or dangling forward references.</w:t>
      </w:r>
    </w:p>
    <w:p>
      <w:pPr>
        <w:pStyle w:val="ListParagraph"/>
        <w:numPr>
          <w:ilvl w:val="0"/>
          <w:numId w:val="1"/>
        </w:numPr>
        <w:spacing w:after="60"/>
      </w:pPr>
      <w:r>
        <w:rPr>
          <w:color w:val="444444"/>
          <w:sz w:val="22"/>
          <w:szCs w:val="22"/>
        </w:rPr>
        <w:t xml:space="preserve">51 Mermaid and 51 PlantUML diagrams — all paired and balanced.</w:t>
      </w:r>
    </w:p>
    <w:p>
      <w:pPr>
        <w:pStyle w:val="ListParagraph"/>
        <w:numPr>
          <w:ilvl w:val="0"/>
          <w:numId w:val="1"/>
        </w:numPr>
        <w:spacing w:after="60"/>
      </w:pPr>
      <w:r>
        <w:rPr>
          <w:color w:val="444444"/>
          <w:sz w:val="22"/>
          <w:szCs w:val="22"/>
        </w:rPr>
        <w:t xml:space="preserve">The pre-existing 11-AI area is byte-identical to the original; only intended files differ.</w:t>
      </w:r>
    </w:p>
    <w:p>
      <w:pPr>
        <w:pStyle w:val="ListParagraph"/>
        <w:numPr>
          <w:ilvl w:val="0"/>
          <w:numId w:val="1"/>
        </w:numPr>
        <w:spacing w:after="60"/>
      </w:pPr>
      <w:r>
        <w:rPr>
          <w:color w:val="444444"/>
          <w:sz w:val="22"/>
          <w:szCs w:val="22"/>
        </w:rPr>
        <w:t xml:space="preserve">Indexes (README-LAEF, MASTER_INDEX), CHANGELOG, RELEASE_NOTES, and PROJECT_STATUS are updated and consistent.</w:t>
      </w:r>
    </w:p>
    <w:p>
      <w:pPr>
        <w:pStyle w:val="ListParagraph"/>
        <w:numPr>
          <w:ilvl w:val="0"/>
          <w:numId w:val="1"/>
        </w:numPr>
        <w:spacing w:after="60"/>
      </w:pPr>
      <w:r>
        <w:rPr>
          <w:color w:val="444444"/>
          <w:sz w:val="22"/>
          <w:szCs w:val="22"/>
        </w:rPr>
        <w:t xml:space="preserve">A proprietary All-Rights-Reserved LICENSE is present at the repository root.</w:t>
      </w:r>
    </w:p>
    <w:p>
      <w:pPr>
        <w:pStyle w:val="ListParagraph"/>
        <w:numPr>
          <w:ilvl w:val="0"/>
          <w:numId w:val="1"/>
        </w:numPr>
        <w:spacing w:after="60"/>
      </w:pPr>
      <w:r>
        <w:rPr>
          <w:color w:val="444444"/>
          <w:sz w:val="22"/>
          <w:szCs w:val="22"/>
        </w:rPr>
        <w:t xml:space="preserve">Packaged as a GitHub-ready ZIP with integrity verified.</w:t>
      </w:r>
    </w:p>
    <w:p>
      <w:pPr>
        <w:spacing w:after="120" w:before="40"/>
      </w:pPr>
      <w:r>
        <w:rPr>
          <w:color w:val="444444"/>
          <w:sz w:val="22"/>
          <w:szCs w:val="22"/>
        </w:rPr>
        <w:t xml:space="preserve">Assessment: Repository is READY.</w:t>
      </w:r>
    </w:p>
    <w:p>
      <w:pPr>
        <w:pStyle w:val="Heading1"/>
        <w:spacing w:after="110" w:before="260"/>
      </w:pPr>
      <w:r>
        <w:rPr>
          <w:b/>
          <w:bCs/>
          <w:color w:val="085041"/>
          <w:sz w:val="28"/>
          <w:szCs w:val="28"/>
        </w:rPr>
        <w:t xml:space="preserve">5. Documentation Readiness</w:t>
      </w:r>
    </w:p>
    <w:p>
      <w:pPr>
        <w:spacing w:after="120"/>
      </w:pPr>
      <w:r>
        <w:rPr>
          <w:color w:val="444444"/>
          <w:sz w:val="22"/>
          <w:szCs w:val="22"/>
        </w:rPr>
        <w:t xml:space="preserve">Documentation is complete and standards-compliant:</w:t>
      </w:r>
    </w:p>
    <w:p>
      <w:pPr>
        <w:pStyle w:val="ListParagraph"/>
        <w:numPr>
          <w:ilvl w:val="0"/>
          <w:numId w:val="1"/>
        </w:numPr>
        <w:spacing w:after="60"/>
      </w:pPr>
      <w:r>
        <w:rPr>
          <w:color w:val="444444"/>
          <w:sz w:val="22"/>
          <w:szCs w:val="22"/>
        </w:rPr>
        <w:t xml:space="preserve">Every document follows the GOV-002 template (metadata, purpose, scope, compliance, dependencies, related documents, revision history).</w:t>
      </w:r>
    </w:p>
    <w:p>
      <w:pPr>
        <w:pStyle w:val="ListParagraph"/>
        <w:numPr>
          <w:ilvl w:val="0"/>
          <w:numId w:val="1"/>
        </w:numPr>
        <w:spacing w:after="60"/>
      </w:pPr>
      <w:r>
        <w:rPr>
          <w:color w:val="444444"/>
          <w:sz w:val="22"/>
          <w:szCs w:val="22"/>
        </w:rPr>
        <w:t xml:space="preserve">Architecture and engine documents include dual-notation diagrams with explanatory text and conformance tables.</w:t>
      </w:r>
    </w:p>
    <w:p>
      <w:pPr>
        <w:pStyle w:val="ListParagraph"/>
        <w:numPr>
          <w:ilvl w:val="0"/>
          <w:numId w:val="1"/>
        </w:numPr>
        <w:spacing w:after="60"/>
      </w:pPr>
      <w:r>
        <w:rPr>
          <w:color w:val="444444"/>
          <w:sz w:val="22"/>
          <w:szCs w:val="22"/>
        </w:rPr>
        <w:t xml:space="preserve">Revision histories record draft and approval events for every document.</w:t>
      </w:r>
    </w:p>
    <w:p>
      <w:pPr>
        <w:pStyle w:val="ListParagraph"/>
        <w:numPr>
          <w:ilvl w:val="0"/>
          <w:numId w:val="1"/>
        </w:numPr>
        <w:spacing w:after="60"/>
      </w:pPr>
      <w:r>
        <w:rPr>
          <w:color w:val="444444"/>
          <w:sz w:val="22"/>
          <w:szCs w:val="22"/>
        </w:rPr>
        <w:t xml:space="preserve">Formal completion reports exist for Phase 2 and Phase 4; release manifests exist for every release.</w:t>
      </w:r>
    </w:p>
    <w:p>
      <w:pPr>
        <w:spacing w:after="120" w:before="40"/>
      </w:pPr>
      <w:r>
        <w:rPr>
          <w:color w:val="444444"/>
          <w:sz w:val="22"/>
          <w:szCs w:val="22"/>
        </w:rPr>
        <w:t xml:space="preserve">Assessment: Documentation is READY.</w:t>
      </w:r>
    </w:p>
    <w:p>
      <w:pPr>
        <w:pStyle w:val="Heading1"/>
        <w:spacing w:after="110" w:before="260"/>
      </w:pPr>
      <w:r>
        <w:rPr>
          <w:b/>
          <w:bCs/>
          <w:color w:val="085041"/>
          <w:sz w:val="28"/>
          <w:szCs w:val="28"/>
        </w:rPr>
        <w:t xml:space="preserve">6. Release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1400"/>
        <w:gridCol w:w="1460"/>
      </w:tblGrid>
      <w:tr>
        <w:trPr>
          <w:tblHeader/>
        </w:trPr>
        <w:tc>
          <w:tcPr>
            <w:tcW w:type="dxa" w:w="1900"/>
            <w:shd w:fill="0D8C7A" w:val="clear"/>
            <w:tcMar>
              <w:top w:type="dxa" w:w="60"/>
              <w:left w:type="dxa" w:w="100"/>
              <w:bottom w:type="dxa" w:w="60"/>
              <w:right w:type="dxa" w:w="100"/>
            </w:tcMar>
          </w:tcPr>
          <w:p>
            <w:r>
              <w:rPr>
                <w:b/>
                <w:bCs/>
                <w:color w:val="FFFFFF"/>
                <w:sz w:val="20"/>
                <w:szCs w:val="20"/>
              </w:rPr>
              <w:t xml:space="preserve">Release</w:t>
            </w:r>
          </w:p>
        </w:tc>
        <w:tc>
          <w:tcPr>
            <w:tcW w:type="dxa" w:w="4600"/>
            <w:shd w:fill="0D8C7A" w:val="clear"/>
            <w:tcMar>
              <w:top w:type="dxa" w:w="60"/>
              <w:left w:type="dxa" w:w="100"/>
              <w:bottom w:type="dxa" w:w="60"/>
              <w:right w:type="dxa" w:w="100"/>
            </w:tcMar>
          </w:tcPr>
          <w:p>
            <w:r>
              <w:rPr>
                <w:b/>
                <w:bCs/>
                <w:color w:val="FFFFFF"/>
                <w:sz w:val="20"/>
                <w:szCs w:val="20"/>
              </w:rPr>
              <w:t xml:space="preserve">Scope</w:t>
            </w:r>
          </w:p>
        </w:tc>
        <w:tc>
          <w:tcPr>
            <w:tcW w:type="dxa" w:w="1400"/>
            <w:shd w:fill="0D8C7A" w:val="clear"/>
            <w:tcMar>
              <w:top w:type="dxa" w:w="60"/>
              <w:left w:type="dxa" w:w="100"/>
              <w:bottom w:type="dxa" w:w="60"/>
              <w:right w:type="dxa" w:w="100"/>
            </w:tcMar>
          </w:tcPr>
          <w:p>
            <w:r>
              <w:rPr>
                <w:b/>
                <w:bCs/>
                <w:color w:val="FFFFFF"/>
                <w:sz w:val="20"/>
                <w:szCs w:val="20"/>
              </w:rPr>
              <w:t xml:space="preserve">Type</w:t>
            </w:r>
          </w:p>
        </w:tc>
        <w:tc>
          <w:tcPr>
            <w:tcW w:type="dxa" w:w="1460"/>
            <w:shd w:fill="0D8C7A" w:val="clear"/>
            <w:tcMar>
              <w:top w:type="dxa" w:w="60"/>
              <w:left w:type="dxa" w:w="100"/>
              <w:bottom w:type="dxa" w:w="60"/>
              <w:right w:type="dxa" w:w="100"/>
            </w:tcMar>
          </w:tcPr>
          <w:p>
            <w:r>
              <w:rPr>
                <w:b/>
                <w:bCs/>
                <w:color w:val="FFFFFF"/>
                <w:sz w:val="20"/>
                <w:szCs w:val="20"/>
              </w:rPr>
              <w:t xml:space="preserve">Status</w:t>
            </w:r>
          </w:p>
        </w:tc>
      </w:tr>
      <w:tr>
        <w:tc>
          <w:tcPr>
            <w:tcW w:type="dxa" w:w="1900"/>
            <w:tcMar>
              <w:top w:type="dxa" w:w="60"/>
              <w:left w:type="dxa" w:w="100"/>
              <w:bottom w:type="dxa" w:w="60"/>
              <w:right w:type="dxa" w:w="100"/>
            </w:tcMar>
          </w:tcPr>
          <w:p>
            <w:r>
              <w:rPr>
                <w:b w:val="false"/>
                <w:bCs w:val="false"/>
                <w:color w:val="444444"/>
                <w:sz w:val="20"/>
                <w:szCs w:val="20"/>
              </w:rPr>
              <w:t xml:space="preserve">LAEF v1.0</w:t>
            </w:r>
          </w:p>
        </w:tc>
        <w:tc>
          <w:tcPr>
            <w:tcW w:type="dxa" w:w="4600"/>
            <w:tcMar>
              <w:top w:type="dxa" w:w="60"/>
              <w:left w:type="dxa" w:w="100"/>
              <w:bottom w:type="dxa" w:w="60"/>
              <w:right w:type="dxa" w:w="100"/>
            </w:tcMar>
          </w:tcPr>
          <w:p>
            <w:r>
              <w:rPr>
                <w:b w:val="false"/>
                <w:bCs w:val="false"/>
                <w:color w:val="444444"/>
                <w:sz w:val="20"/>
                <w:szCs w:val="20"/>
              </w:rPr>
              <w:t xml:space="preserve">Foundation (LAEF-001–007)</w:t>
            </w:r>
          </w:p>
        </w:tc>
        <w:tc>
          <w:tcPr>
            <w:tcW w:type="dxa" w:w="1400"/>
            <w:tcMar>
              <w:top w:type="dxa" w:w="60"/>
              <w:left w:type="dxa" w:w="100"/>
              <w:bottom w:type="dxa" w:w="60"/>
              <w:right w:type="dxa" w:w="100"/>
            </w:tcMar>
          </w:tcPr>
          <w:p>
            <w:r>
              <w:rPr>
                <w:b w:val="false"/>
                <w:bCs w:val="false"/>
                <w:color w:val="444444"/>
                <w:sz w:val="20"/>
                <w:szCs w:val="20"/>
              </w:rPr>
              <w:t xml:space="preserve">Minor</w:t>
            </w:r>
          </w:p>
        </w:tc>
        <w:tc>
          <w:tcPr>
            <w:tcW w:type="dxa" w:w="1460"/>
            <w:tcMar>
              <w:top w:type="dxa" w:w="60"/>
              <w:left w:type="dxa" w:w="100"/>
              <w:bottom w:type="dxa" w:w="60"/>
              <w:right w:type="dxa" w:w="100"/>
            </w:tcMar>
          </w:tcPr>
          <w:p>
            <w:r>
              <w:rPr>
                <w:b w:val="false"/>
                <w:bCs w:val="false"/>
                <w:color w:val="444444"/>
                <w:sz w:val="20"/>
                <w:szCs w:val="20"/>
              </w:rPr>
              <w:t xml:space="preserve">Released</w:t>
            </w:r>
          </w:p>
        </w:tc>
      </w:tr>
      <w:tr>
        <w:tc>
          <w:tcPr>
            <w:tcW w:type="dxa" w:w="1900"/>
            <w:shd w:fill="F2F7F6" w:val="clear"/>
            <w:tcMar>
              <w:top w:type="dxa" w:w="60"/>
              <w:left w:type="dxa" w:w="100"/>
              <w:bottom w:type="dxa" w:w="60"/>
              <w:right w:type="dxa" w:w="100"/>
            </w:tcMar>
          </w:tcPr>
          <w:p>
            <w:r>
              <w:rPr>
                <w:b w:val="false"/>
                <w:bCs w:val="false"/>
                <w:color w:val="444444"/>
                <w:sz w:val="20"/>
                <w:szCs w:val="20"/>
              </w:rPr>
              <w:t xml:space="preserve">LAEF v1.1</w:t>
            </w:r>
          </w:p>
        </w:tc>
        <w:tc>
          <w:tcPr>
            <w:tcW w:type="dxa" w:w="4600"/>
            <w:shd w:fill="F2F7F6" w:val="clear"/>
            <w:tcMar>
              <w:top w:type="dxa" w:w="60"/>
              <w:left w:type="dxa" w:w="100"/>
              <w:bottom w:type="dxa" w:w="60"/>
              <w:right w:type="dxa" w:w="100"/>
            </w:tcMar>
          </w:tcPr>
          <w:p>
            <w:r>
              <w:rPr>
                <w:b w:val="false"/>
                <w:bCs w:val="false"/>
                <w:color w:val="444444"/>
                <w:sz w:val="20"/>
                <w:szCs w:val="20"/>
              </w:rPr>
              <w:t xml:space="preserve">Architecture (LAEF-008–012)</w:t>
            </w:r>
          </w:p>
        </w:tc>
        <w:tc>
          <w:tcPr>
            <w:tcW w:type="dxa" w:w="1400"/>
            <w:shd w:fill="F2F7F6" w:val="clear"/>
            <w:tcMar>
              <w:top w:type="dxa" w:w="60"/>
              <w:left w:type="dxa" w:w="100"/>
              <w:bottom w:type="dxa" w:w="60"/>
              <w:right w:type="dxa" w:w="100"/>
            </w:tcMar>
          </w:tcPr>
          <w:p>
            <w:r>
              <w:rPr>
                <w:b w:val="false"/>
                <w:bCs w:val="false"/>
                <w:color w:val="444444"/>
                <w:sz w:val="20"/>
                <w:szCs w:val="20"/>
              </w:rPr>
              <w:t xml:space="preserve">Minor</w:t>
            </w:r>
          </w:p>
        </w:tc>
        <w:tc>
          <w:tcPr>
            <w:tcW w:type="dxa" w:w="1460"/>
            <w:shd w:fill="F2F7F6" w:val="clear"/>
            <w:tcMar>
              <w:top w:type="dxa" w:w="60"/>
              <w:left w:type="dxa" w:w="100"/>
              <w:bottom w:type="dxa" w:w="60"/>
              <w:right w:type="dxa" w:w="100"/>
            </w:tcMar>
          </w:tcPr>
          <w:p>
            <w:r>
              <w:rPr>
                <w:b w:val="false"/>
                <w:bCs w:val="false"/>
                <w:color w:val="444444"/>
                <w:sz w:val="20"/>
                <w:szCs w:val="20"/>
              </w:rPr>
              <w:t xml:space="preserve">Released</w:t>
            </w:r>
          </w:p>
        </w:tc>
      </w:tr>
      <w:tr>
        <w:tc>
          <w:tcPr>
            <w:tcW w:type="dxa" w:w="1900"/>
            <w:tcMar>
              <w:top w:type="dxa" w:w="60"/>
              <w:left w:type="dxa" w:w="100"/>
              <w:bottom w:type="dxa" w:w="60"/>
              <w:right w:type="dxa" w:w="100"/>
            </w:tcMar>
          </w:tcPr>
          <w:p>
            <w:r>
              <w:rPr>
                <w:b w:val="false"/>
                <w:bCs w:val="false"/>
                <w:color w:val="444444"/>
                <w:sz w:val="20"/>
                <w:szCs w:val="20"/>
              </w:rPr>
              <w:t xml:space="preserve">LAEF v1.2</w:t>
            </w:r>
          </w:p>
        </w:tc>
        <w:tc>
          <w:tcPr>
            <w:tcW w:type="dxa" w:w="4600"/>
            <w:tcMar>
              <w:top w:type="dxa" w:w="60"/>
              <w:left w:type="dxa" w:w="100"/>
              <w:bottom w:type="dxa" w:w="60"/>
              <w:right w:type="dxa" w:w="100"/>
            </w:tcMar>
          </w:tcPr>
          <w:p>
            <w:r>
              <w:rPr>
                <w:b w:val="false"/>
                <w:bCs w:val="false"/>
                <w:color w:val="444444"/>
                <w:sz w:val="20"/>
                <w:szCs w:val="20"/>
              </w:rPr>
              <w:t xml:space="preserve">Core Engines (LAEF-013–021)</w:t>
            </w:r>
          </w:p>
        </w:tc>
        <w:tc>
          <w:tcPr>
            <w:tcW w:type="dxa" w:w="1400"/>
            <w:tcMar>
              <w:top w:type="dxa" w:w="60"/>
              <w:left w:type="dxa" w:w="100"/>
              <w:bottom w:type="dxa" w:w="60"/>
              <w:right w:type="dxa" w:w="100"/>
            </w:tcMar>
          </w:tcPr>
          <w:p>
            <w:r>
              <w:rPr>
                <w:b w:val="false"/>
                <w:bCs w:val="false"/>
                <w:color w:val="444444"/>
                <w:sz w:val="20"/>
                <w:szCs w:val="20"/>
              </w:rPr>
              <w:t xml:space="preserve">Minor</w:t>
            </w:r>
          </w:p>
        </w:tc>
        <w:tc>
          <w:tcPr>
            <w:tcW w:type="dxa" w:w="1460"/>
            <w:tcMar>
              <w:top w:type="dxa" w:w="60"/>
              <w:left w:type="dxa" w:w="100"/>
              <w:bottom w:type="dxa" w:w="60"/>
              <w:right w:type="dxa" w:w="100"/>
            </w:tcMar>
          </w:tcPr>
          <w:p>
            <w:r>
              <w:rPr>
                <w:b w:val="false"/>
                <w:bCs w:val="false"/>
                <w:color w:val="444444"/>
                <w:sz w:val="20"/>
                <w:szCs w:val="20"/>
              </w:rPr>
              <w:t xml:space="preserve">Released</w:t>
            </w:r>
          </w:p>
        </w:tc>
      </w:tr>
      <w:tr>
        <w:tc>
          <w:tcPr>
            <w:tcW w:type="dxa" w:w="1900"/>
            <w:shd w:fill="F2F7F6" w:val="clear"/>
            <w:tcMar>
              <w:top w:type="dxa" w:w="60"/>
              <w:left w:type="dxa" w:w="100"/>
              <w:bottom w:type="dxa" w:w="60"/>
              <w:right w:type="dxa" w:w="100"/>
            </w:tcMar>
          </w:tcPr>
          <w:p>
            <w:r>
              <w:rPr>
                <w:b w:val="false"/>
                <w:bCs w:val="false"/>
                <w:color w:val="444444"/>
                <w:sz w:val="20"/>
                <w:szCs w:val="20"/>
              </w:rPr>
              <w:t xml:space="preserve">LAEF v1.3</w:t>
            </w:r>
          </w:p>
        </w:tc>
        <w:tc>
          <w:tcPr>
            <w:tcW w:type="dxa" w:w="4600"/>
            <w:shd w:fill="F2F7F6" w:val="clear"/>
            <w:tcMar>
              <w:top w:type="dxa" w:w="60"/>
              <w:left w:type="dxa" w:w="100"/>
              <w:bottom w:type="dxa" w:w="60"/>
              <w:right w:type="dxa" w:w="100"/>
            </w:tcMar>
          </w:tcPr>
          <w:p>
            <w:r>
              <w:rPr>
                <w:b w:val="false"/>
                <w:bCs w:val="false"/>
                <w:color w:val="444444"/>
                <w:sz w:val="20"/>
                <w:szCs w:val="20"/>
              </w:rPr>
              <w:t xml:space="preserve">Governance (LAEF-022–027)</w:t>
            </w:r>
          </w:p>
        </w:tc>
        <w:tc>
          <w:tcPr>
            <w:tcW w:type="dxa" w:w="1400"/>
            <w:shd w:fill="F2F7F6" w:val="clear"/>
            <w:tcMar>
              <w:top w:type="dxa" w:w="60"/>
              <w:left w:type="dxa" w:w="100"/>
              <w:bottom w:type="dxa" w:w="60"/>
              <w:right w:type="dxa" w:w="100"/>
            </w:tcMar>
          </w:tcPr>
          <w:p>
            <w:r>
              <w:rPr>
                <w:b w:val="false"/>
                <w:bCs w:val="false"/>
                <w:color w:val="444444"/>
                <w:sz w:val="20"/>
                <w:szCs w:val="20"/>
              </w:rPr>
              <w:t xml:space="preserve">Minor</w:t>
            </w:r>
          </w:p>
        </w:tc>
        <w:tc>
          <w:tcPr>
            <w:tcW w:type="dxa" w:w="1460"/>
            <w:shd w:fill="F2F7F6" w:val="clear"/>
            <w:tcMar>
              <w:top w:type="dxa" w:w="60"/>
              <w:left w:type="dxa" w:w="100"/>
              <w:bottom w:type="dxa" w:w="60"/>
              <w:right w:type="dxa" w:w="100"/>
            </w:tcMar>
          </w:tcPr>
          <w:p>
            <w:r>
              <w:rPr>
                <w:b w:val="false"/>
                <w:bCs w:val="false"/>
                <w:color w:val="444444"/>
                <w:sz w:val="20"/>
                <w:szCs w:val="20"/>
              </w:rPr>
              <w:t xml:space="preserve">Released</w:t>
            </w:r>
          </w:p>
        </w:tc>
      </w:tr>
    </w:tbl>
    <w:p>
      <w:pPr>
        <w:spacing w:after="120" w:before="60"/>
      </w:pPr>
      <w:r>
        <w:rPr>
          <w:color w:val="444444"/>
          <w:sz w:val="22"/>
          <w:szCs w:val="22"/>
        </w:rPr>
        <w:t xml:space="preserve">All four releases are additive and backward-compatible; release criteria are met; the v1.3 manifest is Released. Assessment: Release is READY.</w:t>
      </w:r>
    </w:p>
    <w:p>
      <w:pPr>
        <w:pStyle w:val="Heading1"/>
        <w:spacing w:after="110" w:before="260"/>
      </w:pPr>
      <w:r>
        <w:rPr>
          <w:b/>
          <w:bCs/>
          <w:color w:val="085041"/>
          <w:sz w:val="28"/>
          <w:szCs w:val="28"/>
        </w:rPr>
        <w:t xml:space="preserve">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shd w:fill="0D8C7A" w:val="clear"/>
            <w:tcMar>
              <w:top w:type="dxa" w:w="60"/>
              <w:left w:type="dxa" w:w="100"/>
              <w:bottom w:type="dxa" w:w="60"/>
              <w:right w:type="dxa" w:w="100"/>
            </w:tcMar>
          </w:tcPr>
          <w:p>
            <w:r>
              <w:rPr>
                <w:b/>
                <w:bCs/>
                <w:color w:val="FFFFFF"/>
                <w:sz w:val="20"/>
                <w:szCs w:val="20"/>
              </w:rPr>
              <w:t xml:space="preserve">Risk</w:t>
            </w:r>
          </w:p>
        </w:tc>
        <w:tc>
          <w:tcPr>
            <w:tcW w:type="dxa" w:w="3100"/>
            <w:shd w:fill="0D8C7A" w:val="clear"/>
            <w:tcMar>
              <w:top w:type="dxa" w:w="60"/>
              <w:left w:type="dxa" w:w="100"/>
              <w:bottom w:type="dxa" w:w="60"/>
              <w:right w:type="dxa" w:w="100"/>
            </w:tcMar>
          </w:tcPr>
          <w:p>
            <w:r>
              <w:rPr>
                <w:b/>
                <w:bCs/>
                <w:color w:val="FFFFFF"/>
                <w:sz w:val="20"/>
                <w:szCs w:val="20"/>
              </w:rPr>
              <w:t xml:space="preserve">Severity</w:t>
            </w:r>
          </w:p>
        </w:tc>
        <w:tc>
          <w:tcPr>
            <w:tcW w:type="dxa" w:w="3160"/>
            <w:shd w:fill="0D8C7A" w:val="clear"/>
            <w:tcMar>
              <w:top w:type="dxa" w:w="60"/>
              <w:left w:type="dxa" w:w="100"/>
              <w:bottom w:type="dxa" w:w="60"/>
              <w:right w:type="dxa" w:w="100"/>
            </w:tcMar>
          </w:tcPr>
          <w:p>
            <w:r>
              <w:rPr>
                <w:b/>
                <w:bCs/>
                <w:color w:val="FFFFFF"/>
                <w:sz w:val="20"/>
                <w:szCs w:val="20"/>
              </w:rPr>
              <w:t xml:space="preserve">Mitigation</w:t>
            </w:r>
          </w:p>
        </w:tc>
      </w:tr>
      <w:tr>
        <w:tc>
          <w:tcPr>
            <w:tcW w:type="dxa" w:w="3100"/>
            <w:tcMar>
              <w:top w:type="dxa" w:w="60"/>
              <w:left w:type="dxa" w:w="100"/>
              <w:bottom w:type="dxa" w:w="60"/>
              <w:right w:type="dxa" w:w="100"/>
            </w:tcMar>
          </w:tcPr>
          <w:p>
            <w:r>
              <w:rPr>
                <w:b w:val="false"/>
                <w:bCs w:val="false"/>
                <w:color w:val="444444"/>
                <w:sz w:val="20"/>
                <w:szCs w:val="20"/>
              </w:rPr>
              <w:t xml:space="preserve">v1.3 not yet exercised in real implementation</w:t>
            </w:r>
          </w:p>
        </w:tc>
        <w:tc>
          <w:tcPr>
            <w:tcW w:type="dxa" w:w="3100"/>
            <w:tcMar>
              <w:top w:type="dxa" w:w="60"/>
              <w:left w:type="dxa" w:w="100"/>
              <w:bottom w:type="dxa" w:w="60"/>
              <w:right w:type="dxa" w:w="100"/>
            </w:tcMar>
          </w:tcPr>
          <w:p>
            <w:r>
              <w:rPr>
                <w:b w:val="false"/>
                <w:bCs w:val="false"/>
                <w:color w:val="444444"/>
                <w:sz w:val="20"/>
                <w:szCs w:val="20"/>
              </w:rPr>
              <w:t xml:space="preserve">Medium</w:t>
            </w:r>
          </w:p>
        </w:tc>
        <w:tc>
          <w:tcPr>
            <w:tcW w:type="dxa" w:w="3160"/>
            <w:tcMar>
              <w:top w:type="dxa" w:w="60"/>
              <w:left w:type="dxa" w:w="100"/>
              <w:bottom w:type="dxa" w:w="60"/>
              <w:right w:type="dxa" w:w="100"/>
            </w:tcMar>
          </w:tcPr>
          <w:p>
            <w:r>
              <w:rPr>
                <w:b w:val="false"/>
                <w:bCs w:val="false"/>
                <w:color w:val="444444"/>
                <w:sz w:val="20"/>
                <w:szCs w:val="20"/>
              </w:rPr>
              <w:t xml:space="preserve">Operational validation period; improvements captured for a future v1.4 via ADR</w:t>
            </w:r>
          </w:p>
        </w:tc>
      </w:tr>
      <w:tr>
        <w:tc>
          <w:tcPr>
            <w:tcW w:type="dxa" w:w="3100"/>
            <w:shd w:fill="F2F7F6" w:val="clear"/>
            <w:tcMar>
              <w:top w:type="dxa" w:w="60"/>
              <w:left w:type="dxa" w:w="100"/>
              <w:bottom w:type="dxa" w:w="60"/>
              <w:right w:type="dxa" w:w="100"/>
            </w:tcMar>
          </w:tcPr>
          <w:p>
            <w:r>
              <w:rPr>
                <w:b w:val="false"/>
                <w:bCs w:val="false"/>
                <w:color w:val="444444"/>
                <w:sz w:val="20"/>
                <w:szCs w:val="20"/>
              </w:rPr>
              <w:t xml:space="preserve">LICENSE not yet legally reviewed</w:t>
            </w:r>
          </w:p>
        </w:tc>
        <w:tc>
          <w:tcPr>
            <w:tcW w:type="dxa" w:w="3100"/>
            <w:shd w:fill="F2F7F6" w:val="clear"/>
            <w:tcMar>
              <w:top w:type="dxa" w:w="60"/>
              <w:left w:type="dxa" w:w="100"/>
              <w:bottom w:type="dxa" w:w="60"/>
              <w:right w:type="dxa" w:w="100"/>
            </w:tcMar>
          </w:tcPr>
          <w:p>
            <w:r>
              <w:rPr>
                <w:b w:val="false"/>
                <w:bCs w:val="false"/>
                <w:color w:val="444444"/>
                <w:sz w:val="20"/>
                <w:szCs w:val="20"/>
              </w:rPr>
              <w:t xml:space="preserve">Medium</w:t>
            </w:r>
          </w:p>
        </w:tc>
        <w:tc>
          <w:tcPr>
            <w:tcW w:type="dxa" w:w="3160"/>
            <w:shd w:fill="F2F7F6" w:val="clear"/>
            <w:tcMar>
              <w:top w:type="dxa" w:w="60"/>
              <w:left w:type="dxa" w:w="100"/>
              <w:bottom w:type="dxa" w:w="60"/>
              <w:right w:type="dxa" w:w="100"/>
            </w:tcMar>
          </w:tcPr>
          <w:p>
            <w:r>
              <w:rPr>
                <w:b w:val="false"/>
                <w:bCs w:val="false"/>
                <w:color w:val="444444"/>
                <w:sz w:val="20"/>
                <w:szCs w:val="20"/>
              </w:rPr>
              <w:t xml:space="preserve">Recommend review by counsel; update entity name if applicable</w:t>
            </w:r>
          </w:p>
        </w:tc>
      </w:tr>
      <w:tr>
        <w:tc>
          <w:tcPr>
            <w:tcW w:type="dxa" w:w="3100"/>
            <w:tcMar>
              <w:top w:type="dxa" w:w="60"/>
              <w:left w:type="dxa" w:w="100"/>
              <w:bottom w:type="dxa" w:w="60"/>
              <w:right w:type="dxa" w:w="100"/>
            </w:tcMar>
          </w:tcPr>
          <w:p>
            <w:r>
              <w:rPr>
                <w:b w:val="false"/>
                <w:bCs w:val="false"/>
                <w:color w:val="444444"/>
                <w:sz w:val="20"/>
                <w:szCs w:val="20"/>
              </w:rPr>
              <w:t xml:space="preserve">17-Business-Workflows repository deferred</w:t>
            </w:r>
          </w:p>
        </w:tc>
        <w:tc>
          <w:tcPr>
            <w:tcW w:type="dxa" w:w="3100"/>
            <w:tcMar>
              <w:top w:type="dxa" w:w="60"/>
              <w:left w:type="dxa" w:w="100"/>
              <w:bottom w:type="dxa" w:w="60"/>
              <w:right w:type="dxa" w:w="100"/>
            </w:tcMar>
          </w:tcPr>
          <w:p>
            <w:r>
              <w:rPr>
                <w:b w:val="false"/>
                <w:bCs w:val="false"/>
                <w:color w:val="444444"/>
                <w:sz w:val="20"/>
                <w:szCs w:val="20"/>
              </w:rPr>
              <w:t xml:space="preserve">Low</w:t>
            </w:r>
          </w:p>
        </w:tc>
        <w:tc>
          <w:tcPr>
            <w:tcW w:type="dxa" w:w="3160"/>
            <w:tcMar>
              <w:top w:type="dxa" w:w="60"/>
              <w:left w:type="dxa" w:w="100"/>
              <w:bottom w:type="dxa" w:w="60"/>
              <w:right w:type="dxa" w:w="100"/>
            </w:tcMar>
          </w:tcPr>
          <w:p>
            <w:r>
              <w:rPr>
                <w:b w:val="false"/>
                <w:bCs w:val="false"/>
                <w:color w:val="444444"/>
                <w:sz w:val="20"/>
                <w:szCs w:val="20"/>
              </w:rPr>
              <w:t xml:space="preserve">Approved and planned via ADR-011; non-blocking</w:t>
            </w:r>
          </w:p>
        </w:tc>
      </w:tr>
      <w:tr>
        <w:tc>
          <w:tcPr>
            <w:tcW w:type="dxa" w:w="3100"/>
            <w:shd w:fill="F2F7F6" w:val="clear"/>
            <w:tcMar>
              <w:top w:type="dxa" w:w="60"/>
              <w:left w:type="dxa" w:w="100"/>
              <w:bottom w:type="dxa" w:w="60"/>
              <w:right w:type="dxa" w:w="100"/>
            </w:tcMar>
          </w:tcPr>
          <w:p>
            <w:r>
              <w:rPr>
                <w:b w:val="false"/>
                <w:bCs w:val="false"/>
                <w:color w:val="444444"/>
                <w:sz w:val="20"/>
                <w:szCs w:val="20"/>
              </w:rPr>
              <w:t xml:space="preserve">LC-BOOK designation unratified</w:t>
            </w:r>
          </w:p>
        </w:tc>
        <w:tc>
          <w:tcPr>
            <w:tcW w:type="dxa" w:w="3100"/>
            <w:shd w:fill="F2F7F6" w:val="clear"/>
            <w:tcMar>
              <w:top w:type="dxa" w:w="60"/>
              <w:left w:type="dxa" w:w="100"/>
              <w:bottom w:type="dxa" w:w="60"/>
              <w:right w:type="dxa" w:w="100"/>
            </w:tcMar>
          </w:tcPr>
          <w:p>
            <w:r>
              <w:rPr>
                <w:b w:val="false"/>
                <w:bCs w:val="false"/>
                <w:color w:val="444444"/>
                <w:sz w:val="20"/>
                <w:szCs w:val="20"/>
              </w:rPr>
              <w:t xml:space="preserve">Low</w:t>
            </w:r>
          </w:p>
        </w:tc>
        <w:tc>
          <w:tcPr>
            <w:tcW w:type="dxa" w:w="3160"/>
            <w:shd w:fill="F2F7F6" w:val="clear"/>
            <w:tcMar>
              <w:top w:type="dxa" w:w="60"/>
              <w:left w:type="dxa" w:w="100"/>
              <w:bottom w:type="dxa" w:w="60"/>
              <w:right w:type="dxa" w:w="100"/>
            </w:tcMar>
          </w:tcPr>
          <w:p>
            <w:r>
              <w:rPr>
                <w:b w:val="false"/>
                <w:bCs w:val="false"/>
                <w:color w:val="444444"/>
                <w:sz w:val="20"/>
                <w:szCs w:val="20"/>
              </w:rPr>
              <w:t xml:space="preserve">Housekeeping; ratify in a future release</w:t>
            </w:r>
          </w:p>
        </w:tc>
      </w:tr>
      <w:tr>
        <w:tc>
          <w:tcPr>
            <w:tcW w:type="dxa" w:w="3100"/>
            <w:tcMar>
              <w:top w:type="dxa" w:w="60"/>
              <w:left w:type="dxa" w:w="100"/>
              <w:bottom w:type="dxa" w:w="60"/>
              <w:right w:type="dxa" w:w="100"/>
            </w:tcMar>
          </w:tcPr>
          <w:p>
            <w:r>
              <w:rPr>
                <w:b w:val="false"/>
                <w:bCs w:val="false"/>
                <w:color w:val="444444"/>
                <w:sz w:val="20"/>
                <w:szCs w:val="20"/>
              </w:rPr>
              <w:t xml:space="preserve">Phases 5–10 not yet built</w:t>
            </w:r>
          </w:p>
        </w:tc>
        <w:tc>
          <w:tcPr>
            <w:tcW w:type="dxa" w:w="3100"/>
            <w:tcMar>
              <w:top w:type="dxa" w:w="60"/>
              <w:left w:type="dxa" w:w="100"/>
              <w:bottom w:type="dxa" w:w="60"/>
              <w:right w:type="dxa" w:w="100"/>
            </w:tcMar>
          </w:tcPr>
          <w:p>
            <w:r>
              <w:rPr>
                <w:b w:val="false"/>
                <w:bCs w:val="false"/>
                <w:color w:val="444444"/>
                <w:sz w:val="20"/>
                <w:szCs w:val="20"/>
              </w:rPr>
              <w:t xml:space="preserve">Low</w:t>
            </w:r>
          </w:p>
        </w:tc>
        <w:tc>
          <w:tcPr>
            <w:tcW w:type="dxa" w:w="3160"/>
            <w:tcMar>
              <w:top w:type="dxa" w:w="60"/>
              <w:left w:type="dxa" w:w="100"/>
              <w:bottom w:type="dxa" w:w="60"/>
              <w:right w:type="dxa" w:w="100"/>
            </w:tcMar>
          </w:tcPr>
          <w:p>
            <w:r>
              <w:rPr>
                <w:b w:val="false"/>
                <w:bCs w:val="false"/>
                <w:color w:val="444444"/>
                <w:sz w:val="20"/>
                <w:szCs w:val="20"/>
              </w:rPr>
              <w:t xml:space="preserve">Expected; baseline is complete for its defined scope</w:t>
            </w:r>
          </w:p>
        </w:tc>
      </w:tr>
      <w:tr>
        <w:tc>
          <w:tcPr>
            <w:tcW w:type="dxa" w:w="3100"/>
            <w:shd w:fill="F2F7F6" w:val="clear"/>
            <w:tcMar>
              <w:top w:type="dxa" w:w="60"/>
              <w:left w:type="dxa" w:w="100"/>
              <w:bottom w:type="dxa" w:w="60"/>
              <w:right w:type="dxa" w:w="100"/>
            </w:tcMar>
          </w:tcPr>
          <w:p>
            <w:r>
              <w:rPr>
                <w:b w:val="false"/>
                <w:bCs w:val="false"/>
                <w:color w:val="444444"/>
                <w:sz w:val="20"/>
                <w:szCs w:val="20"/>
              </w:rPr>
              <w:t xml:space="preserve">Repository mixes framework and product content</w:t>
            </w:r>
          </w:p>
        </w:tc>
        <w:tc>
          <w:tcPr>
            <w:tcW w:type="dxa" w:w="3100"/>
            <w:shd w:fill="F2F7F6" w:val="clear"/>
            <w:tcMar>
              <w:top w:type="dxa" w:w="60"/>
              <w:left w:type="dxa" w:w="100"/>
              <w:bottom w:type="dxa" w:w="60"/>
              <w:right w:type="dxa" w:w="100"/>
            </w:tcMar>
          </w:tcPr>
          <w:p>
            <w:r>
              <w:rPr>
                <w:b w:val="false"/>
                <w:bCs w:val="false"/>
                <w:color w:val="444444"/>
                <w:sz w:val="20"/>
                <w:szCs w:val="20"/>
              </w:rPr>
              <w:t xml:space="preserve">Low</w:t>
            </w:r>
          </w:p>
        </w:tc>
        <w:tc>
          <w:tcPr>
            <w:tcW w:type="dxa" w:w="3160"/>
            <w:shd w:fill="F2F7F6" w:val="clear"/>
            <w:tcMar>
              <w:top w:type="dxa" w:w="60"/>
              <w:left w:type="dxa" w:w="100"/>
              <w:bottom w:type="dxa" w:w="60"/>
              <w:right w:type="dxa" w:w="100"/>
            </w:tcMar>
          </w:tcPr>
          <w:p>
            <w:r>
              <w:rPr>
                <w:b w:val="false"/>
                <w:bCs w:val="false"/>
                <w:color w:val="444444"/>
                <w:sz w:val="20"/>
                <w:szCs w:val="20"/>
              </w:rPr>
              <w:t xml:space="preserve">Optional future split of LAEF into its own repo via ADR</w:t>
            </w:r>
          </w:p>
        </w:tc>
      </w:tr>
    </w:tbl>
    <w:p>
      <w:pPr>
        <w:pStyle w:val="Heading1"/>
        <w:spacing w:after="110" w:before="260"/>
      </w:pPr>
      <w:r>
        <w:rPr>
          <w:b/>
          <w:bCs/>
          <w:color w:val="085041"/>
          <w:sz w:val="28"/>
          <w:szCs w:val="28"/>
        </w:rPr>
        <w:t xml:space="preserve">8. Future Recommendations (Deferred to Future ADRs and Releases)</w:t>
      </w:r>
    </w:p>
    <w:p>
      <w:pPr>
        <w:pStyle w:val="ListParagraph"/>
        <w:numPr>
          <w:ilvl w:val="0"/>
          <w:numId w:val="1"/>
        </w:numPr>
        <w:spacing w:after="60"/>
      </w:pPr>
      <w:r>
        <w:rPr>
          <w:color w:val="444444"/>
          <w:sz w:val="22"/>
          <w:szCs w:val="22"/>
        </w:rPr>
        <w:t xml:space="preserve">Proceed through the roadmap: Phase 5 Agent Framework, Phase 6 Knowledge Integration, Phase 7 Workflow Library, Phase 8 Playbooks, Phase 9 Quality System, Phase 10 Continuous Improvement.</w:t>
      </w:r>
    </w:p>
    <w:p>
      <w:pPr>
        <w:pStyle w:val="ListParagraph"/>
        <w:numPr>
          <w:ilvl w:val="0"/>
          <w:numId w:val="1"/>
        </w:numPr>
        <w:spacing w:after="60"/>
      </w:pPr>
      <w:r>
        <w:rPr>
          <w:color w:val="444444"/>
          <w:sz w:val="22"/>
          <w:szCs w:val="22"/>
        </w:rPr>
        <w:t xml:space="preserve">Establish the 17-Business-Workflows repository when scheduled (ADR-011).</w:t>
      </w:r>
    </w:p>
    <w:p>
      <w:pPr>
        <w:pStyle w:val="ListParagraph"/>
        <w:numPr>
          <w:ilvl w:val="0"/>
          <w:numId w:val="1"/>
        </w:numPr>
        <w:spacing w:after="60"/>
      </w:pPr>
      <w:r>
        <w:rPr>
          <w:color w:val="444444"/>
          <w:sz w:val="22"/>
          <w:szCs w:val="22"/>
        </w:rPr>
        <w:t xml:space="preserve">Obtain legal review of the LICENSE and finalize the copyright entity.</w:t>
      </w:r>
    </w:p>
    <w:p>
      <w:pPr>
        <w:pStyle w:val="ListParagraph"/>
        <w:numPr>
          <w:ilvl w:val="0"/>
          <w:numId w:val="1"/>
        </w:numPr>
        <w:spacing w:after="60"/>
      </w:pPr>
      <w:r>
        <w:rPr>
          <w:color w:val="444444"/>
          <w:sz w:val="22"/>
          <w:szCs w:val="22"/>
        </w:rPr>
        <w:t xml:space="preserve">Ratify the LAEF book (LC-BOOK) designation.</w:t>
      </w:r>
    </w:p>
    <w:p>
      <w:pPr>
        <w:pStyle w:val="ListParagraph"/>
        <w:numPr>
          <w:ilvl w:val="0"/>
          <w:numId w:val="1"/>
        </w:numPr>
        <w:spacing w:after="60"/>
      </w:pPr>
      <w:r>
        <w:rPr>
          <w:color w:val="444444"/>
          <w:sz w:val="22"/>
          <w:szCs w:val="22"/>
        </w:rPr>
        <w:t xml:space="preserve">Consider a dedicated LAEF repository if open distribution is ever desired.</w:t>
      </w:r>
    </w:p>
    <w:p>
      <w:pPr>
        <w:pStyle w:val="ListParagraph"/>
        <w:numPr>
          <w:ilvl w:val="0"/>
          <w:numId w:val="1"/>
        </w:numPr>
        <w:spacing w:after="60"/>
      </w:pPr>
      <w:r>
        <w:rPr>
          <w:color w:val="444444"/>
          <w:sz w:val="22"/>
          <w:szCs w:val="22"/>
        </w:rPr>
        <w:t xml:space="preserve">Capture operational-validation lessons to drive the first improvement release (v1.4).</w:t>
      </w:r>
    </w:p>
    <w:p>
      <w:pPr>
        <w:spacing w:after="120" w:before="40"/>
      </w:pPr>
      <w:r>
        <w:rPr>
          <w:color w:val="444444"/>
          <w:sz w:val="22"/>
          <w:szCs w:val="22"/>
        </w:rPr>
        <w:t xml:space="preserve">All of the above are deferred; none modifies the frozen v1.3 baseline except through an approved ADR and a future release.</w:t>
      </w:r>
    </w:p>
    <w:p>
      <w:pPr>
        <w:pStyle w:val="Heading1"/>
        <w:spacing w:after="110" w:before="260"/>
      </w:pPr>
      <w:r>
        <w:rPr>
          <w:b/>
          <w:bCs/>
          <w:color w:val="085041"/>
          <w:sz w:val="28"/>
          <w:szCs w:val="28"/>
        </w:rPr>
        <w:t xml:space="preserve">9. Final Go / No-Go Recommendation</w:t>
      </w:r>
    </w:p>
    <w:p>
      <w:pPr>
        <w:spacing w:after="120"/>
      </w:pPr>
      <w:r>
        <w:rPr>
          <w:b/>
          <w:bCs/>
          <w:color w:val="1E7A34"/>
          <w:sz w:val="26"/>
          <w:szCs w:val="26"/>
        </w:rPr>
        <w:t xml:space="preserve">Recommendation: GO.</w:t>
      </w:r>
    </w:p>
    <w:p>
      <w:pPr>
        <w:spacing w:after="120"/>
      </w:pPr>
      <w:r>
        <w:rPr>
          <w:color w:val="444444"/>
          <w:sz w:val="22"/>
          <w:szCs w:val="22"/>
        </w:rPr>
        <w:t xml:space="preserve">LAEF v1.3 is mature, internally consistent, fully governed, validated, documented, released, and protected by license. It is recommended for adoption as the official, permanent engineering framework for all future LOUTAS products.</w:t>
      </w:r>
    </w:p>
    <w:p>
      <w:pPr>
        <w:spacing w:after="120"/>
      </w:pPr>
      <w:r>
        <w:rPr>
          <w:color w:val="444444"/>
          <w:sz w:val="22"/>
          <w:szCs w:val="22"/>
        </w:rPr>
        <w:t xml:space="preserve">Upon acceptance of this GO recommendation, LAEF v1.3 is considered FROZEN. No architectural change is introduced directly into the framework; every future modification follows the governance process through an approved ADR and a future release (v1.4 or later).</w:t>
      </w:r>
    </w:p>
    <w:p>
      <w:r>
        <w:rPr>
          <w:sz w:val="8"/>
          <w:szCs w:val="8"/>
        </w:rPr>
        <w:t xml:space="preserve"/>
      </w:r>
    </w:p>
    <w:p>
      <w:pPr>
        <w:pBdr>
          <w:top w:val="single" w:color="0D8C7A" w:sz="8" w:space="8"/>
        </w:pBdr>
        <w:jc w:val="center"/>
      </w:pPr>
      <w:r>
        <w:rPr>
          <w:i/>
          <w:iCs/>
          <w:color w:val="444444"/>
          <w:sz w:val="18"/>
          <w:szCs w:val="18"/>
        </w:rPr>
        <w:t xml:space="preserve">End of Baseline Readiness Review — LOUTAS AI Engineering Framework (LAEF v1.3)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LAEF v1.3 Baseline Readiness Review</dc:title>
  <dc:creator>Enterprise AI Governance Office</dc:creator>
  <cp:lastModifiedBy>Un-named</cp:lastModifiedBy>
  <cp:revision>1</cp:revision>
  <dcterms:created xsi:type="dcterms:W3CDTF">2026-08-01T07:20:40.656Z</dcterms:created>
  <dcterms:modified xsi:type="dcterms:W3CDTF">2026-08-01T07:20:40.668Z</dcterms:modified>
</cp:coreProperties>
</file>

<file path=docProps/custom.xml><?xml version="1.0" encoding="utf-8"?>
<Properties xmlns="http://schemas.openxmlformats.org/officeDocument/2006/custom-properties" xmlns:vt="http://schemas.openxmlformats.org/officeDocument/2006/docPropsVTypes"/>
</file>