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755F2B8D" w:rsidR="003837F2" w:rsidRPr="00060EAB" w:rsidRDefault="00CD6A90" w:rsidP="002C759B">
      <w:pPr>
        <w:jc w:val="center"/>
      </w:pPr>
      <w:r w:rsidRPr="00060EAB">
        <w:t>Computational implementation of a top-down parser-grammar</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15E398F4"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35D7B10C"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rich body of knowledge </w:t>
      </w:r>
      <w:r w:rsidR="008803A2">
        <w:t>about his or her language</w:t>
      </w:r>
      <w:r w:rsidR="00CB63D6">
        <w:t>: linguistic representations internalized by the speaker.</w:t>
      </w:r>
      <w:r w:rsidR="000B033E">
        <w:t xml:space="preserve"> </w:t>
      </w:r>
      <w:r w:rsidR="00AB4E95">
        <w:t>O</w:t>
      </w:r>
      <w:r w:rsidR="0067418B">
        <w:t xml:space="preserve">ne might </w:t>
      </w:r>
      <w:r w:rsidR="001373AA">
        <w:t xml:space="preserve">then </w:t>
      </w:r>
      <w:r w:rsidR="0067418B">
        <w:t xml:space="preserve">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EF66B1">
        <w:t>investigated</w:t>
      </w:r>
      <w:r w:rsidR="000B033E">
        <w:t>.</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05962645" w:rsidR="00BE2C29" w:rsidRDefault="00963609" w:rsidP="004A5D08">
      <w:r>
        <w:t xml:space="preserve">It does not follow from this that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 xml:space="preserve">be answered by </w:t>
      </w:r>
      <w:r w:rsidR="00EF66B1">
        <w:t xml:space="preserve">an </w:t>
      </w:r>
      <w:r w:rsidR="00C229DF">
        <w:t>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he 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bookmarkStart w:id="4" w:name="_Ref8804682"/>
      <w:r>
        <w:lastRenderedPageBreak/>
        <w:t>The framework</w:t>
      </w:r>
      <w:bookmarkEnd w:id="4"/>
    </w:p>
    <w:p w14:paraId="38A7B24A" w14:textId="24DD1677" w:rsidR="008C340D" w:rsidRPr="008C340D" w:rsidRDefault="008C340D" w:rsidP="008C340D">
      <w:pPr>
        <w:pStyle w:val="Heading2"/>
      </w:pPr>
      <w:r>
        <w:t>Merge</w:t>
      </w:r>
    </w:p>
    <w:p w14:paraId="5120639B" w14:textId="3E9D466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xml:space="preserve">, … of phonological words. We assume that in order to understand what the sentence </w:t>
      </w:r>
      <w:proofErr w:type="gramStart"/>
      <w:r>
        <w:t>means</w:t>
      </w:r>
      <w:r w:rsidR="009C4783">
        <w:t>,</w:t>
      </w:r>
      <w:proofErr w:type="gramEnd"/>
      <w:r>
        <w:t xml:space="preserve">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DE0CCA">
        <w:rPr>
          <w:i/>
        </w:rPr>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5" w:name="_Ref8469853"/>
      <w:r>
        <w:t>John + sleeps.</w:t>
      </w:r>
      <w:r>
        <w:br/>
        <w:t xml:space="preserve"> </w:t>
      </w:r>
      <w:r>
        <w:tab/>
        <w:t xml:space="preserve">    </w:t>
      </w:r>
      <w:r>
        <w:sym w:font="Symbol" w:char="F0AF"/>
      </w:r>
      <w:r>
        <w:tab/>
      </w:r>
      <w:r>
        <w:tab/>
      </w:r>
      <w:r>
        <w:sym w:font="Symbol" w:char="F0AF"/>
      </w:r>
      <w:r>
        <w:br/>
        <w:t xml:space="preserve"> </w:t>
      </w:r>
      <w:r>
        <w:tab/>
        <w:t>[John, sleeps]</w:t>
      </w:r>
      <w:bookmarkEnd w:id="5"/>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FE4F8BE" w:rsidR="00A755F8" w:rsidRDefault="00A755F8" w:rsidP="00A755F8">
      <w:pPr>
        <w:pStyle w:val="LinguisticExample"/>
      </w:pPr>
      <w:bookmarkStart w:id="6" w:name="_Ref8470150"/>
      <w:bookmarkStart w:id="7" w:name="_Ref8470811"/>
      <w:r>
        <w:t xml:space="preserve">a. [[John </w:t>
      </w:r>
      <w:r w:rsidRPr="0055274B">
        <w:rPr>
          <w:i/>
        </w:rPr>
        <w:t>furiously</w:t>
      </w:r>
      <w:r>
        <w:t>],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6"/>
      <w:r w:rsidR="0055274B">
        <w:t>]</w:t>
      </w:r>
      <w:bookmarkEnd w:id="7"/>
    </w:p>
    <w:p w14:paraId="44A4CB99" w14:textId="307BCF4D"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w:t>
      </w:r>
      <w:r w:rsidR="00EF66B1">
        <w:t xml:space="preserve">(thematic, grammatic) </w:t>
      </w:r>
      <w:r w:rsidR="0068408A">
        <w:t>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are therefore left with the two options (b) and (c). The parser-grammar will select one of them, but which one? </w:t>
      </w:r>
    </w:p>
    <w:p w14:paraId="0537C25C" w14:textId="6F8BE192" w:rsidR="00AE7677" w:rsidRPr="00615379" w:rsidRDefault="00AE7677" w:rsidP="004A5D08">
      <w:r>
        <w:lastRenderedPageBreak/>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truism that in an </w:t>
      </w:r>
      <w:proofErr w:type="gramStart"/>
      <w:r w:rsidR="0071463C">
        <w:t>incremental parsing process decisions</w:t>
      </w:r>
      <w:proofErr w:type="gramEnd"/>
      <w:r w:rsidR="0071463C">
        <w:t xml:space="preserve">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w:t>
      </w:r>
      <w:r w:rsidR="00EF66B1">
        <w:t>L</w:t>
      </w:r>
      <w:r w:rsidR="00256011">
        <w:t xml:space="preserve">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6459843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solution will not produce a legitimate output</w:t>
      </w:r>
      <w:r w:rsidR="00EF66B1">
        <w:t>,</w:t>
      </w:r>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9330F12"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8"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8"/>
    </w:p>
    <w:p w14:paraId="1CDA7EAC" w14:textId="16D6097F"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9" w:name="_Ref8472923"/>
      <w:r>
        <w:t>[John</w:t>
      </w:r>
      <w:r w:rsidR="00E740C1">
        <w:t xml:space="preserve"> </w:t>
      </w:r>
      <w:r>
        <w:t xml:space="preserve">[[sleeps furiously] </w:t>
      </w:r>
      <w:r w:rsidR="003F6863">
        <w:sym w:font="Symbol" w:char="F067"/>
      </w:r>
      <w:r w:rsidR="003F6863">
        <w:t>]</w:t>
      </w:r>
      <w:bookmarkEnd w:id="9"/>
    </w:p>
    <w:p w14:paraId="05229FDC" w14:textId="56E58446" w:rsidR="00E740C1" w:rsidRDefault="00E740C1" w:rsidP="00E740C1">
      <w:r>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w:t>
      </w:r>
      <w:r w:rsidR="00265D64">
        <w:lastRenderedPageBreak/>
        <w:t xml:space="preserve">two constituents </w:t>
      </w:r>
      <w:r w:rsidR="001A5A26">
        <w:t xml:space="preserve">were </w:t>
      </w:r>
      <w:r w:rsidR="00265D64">
        <w:t>divorced</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ecause constituency 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10"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10"/>
    </w:p>
    <w:p w14:paraId="06B32DCA" w14:textId="4B8FEB47" w:rsidR="002A1C18" w:rsidRDefault="001005DF" w:rsidP="002A1C18">
      <w:r>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w:t>
      </w:r>
      <w:r w:rsidR="005D434C">
        <w:lastRenderedPageBreak/>
        <w:t xml:space="preserve">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1" w:name="_Ref8480379"/>
      <w:bookmarkStart w:id="12"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1"/>
      <w:r w:rsidR="004D725E">
        <w:rPr>
          <w:smallCaps/>
        </w:rPr>
        <w:tab/>
      </w:r>
      <w:r w:rsidR="004D725E">
        <w:rPr>
          <w:smallCaps/>
        </w:rPr>
        <w:tab/>
      </w:r>
      <w:r w:rsidR="00EF216F">
        <w:rPr>
          <w:smallCaps/>
        </w:rPr>
        <w:sym w:font="Wingdings" w:char="F0FC"/>
      </w:r>
      <w:bookmarkEnd w:id="12"/>
      <w:r w:rsidR="00CE05AC">
        <w:rPr>
          <w:smallCaps/>
        </w:rPr>
        <w:t xml:space="preserve"> </w:t>
      </w:r>
      <w:r w:rsidR="00CE05AC" w:rsidRPr="00CE05AC">
        <w:t>Merge site accepted</w:t>
      </w:r>
      <w:r w:rsidR="006B4E32">
        <w:t>.</w:t>
      </w:r>
    </w:p>
    <w:p w14:paraId="4E3EA59E" w14:textId="01D32352"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EF66B1">
        <w:t xml:space="preserve"> These formal features exist to mirror something that is interpreted semantically in an extrasyntactic conceptual-intentional system.</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3"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3"/>
    </w:p>
    <w:p w14:paraId="20E43F74" w14:textId="131DC729"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t>
      </w:r>
      <w:r w:rsidR="00D00E21">
        <w:lastRenderedPageBreak/>
        <w:t>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w:t>
      </w:r>
      <w:r w:rsidR="00EF66B1">
        <w:t xml:space="preserve">sister </w:t>
      </w:r>
      <w:r w:rsidR="00354C32">
        <w:t>selection feature.”</w:t>
      </w:r>
      <w:r w:rsidR="00EF66B1">
        <w:t xml:space="preserve"> This name comes with the caveat that since phrase structure configurations can change at a later stage of the derivation, what is a left sister at stage t can fail to be the left sister at some later stage.</w:t>
      </w:r>
    </w:p>
    <w:p w14:paraId="6E57BBB3" w14:textId="2C6902BB" w:rsidR="004B2589" w:rsidRDefault="004B2589" w:rsidP="004B2589">
      <w:pPr>
        <w:pStyle w:val="Heading2"/>
      </w:pPr>
      <w:bookmarkStart w:id="14" w:name="_Ref8473665"/>
      <w:r>
        <w:t>Phases and left branches</w:t>
      </w:r>
      <w:bookmarkEnd w:id="14"/>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5"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5"/>
    </w:p>
    <w:p w14:paraId="22453178" w14:textId="6A36F644"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w:t>
      </w:r>
      <w:r w:rsidR="00EF66B1">
        <w:t>A</w:t>
      </w:r>
      <w:r>
        <w:t xml:space="preserve">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w:t>
      </w:r>
      <w:r w:rsidR="003C6065">
        <w:t xml:space="preserve">for </w:t>
      </w:r>
      <w:r>
        <w:t xml:space="preserve">specifically by </w:t>
      </w:r>
      <w:r>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fldChar w:fldCharType="separate"/>
      </w:r>
      <w:r w:rsidR="00067818" w:rsidRPr="00067818">
        <w:rPr>
          <w:noProof/>
        </w:rPr>
        <w:t>(Brattico and Chesi 2019a)</w:t>
      </w:r>
      <w:r>
        <w:fldChar w:fldCharType="end"/>
      </w:r>
      <w:r w:rsidR="003C6065">
        <w:t>, who use data from pied-piping to support it further.</w:t>
      </w:r>
      <w:r w:rsidR="008D333E">
        <w:t xml:space="preserve"> </w:t>
      </w:r>
    </w:p>
    <w:p w14:paraId="2127A7D0" w14:textId="0AA6BAD8" w:rsidR="004F0128" w:rsidRDefault="004F0128" w:rsidP="004F0128">
      <w:pPr>
        <w:pStyle w:val="LinguisticExample"/>
      </w:pPr>
      <w:bookmarkStart w:id="16" w:name="_Ref8562777"/>
      <w:r w:rsidRPr="001520DD">
        <w:rPr>
          <w:i/>
        </w:rPr>
        <w:t>Left Branch Phase Condition (LBPC)</w:t>
      </w:r>
      <w:r>
        <w:br/>
        <w:t xml:space="preserve"> </w:t>
      </w:r>
      <w:r>
        <w:tab/>
        <w:t>Derive each left branch independently.</w:t>
      </w:r>
      <w:bookmarkEnd w:id="16"/>
    </w:p>
    <w:p w14:paraId="395AB6C1" w14:textId="2CA8C636" w:rsidR="00AF597B" w:rsidRDefault="003C6065" w:rsidP="00AF597B">
      <w:r>
        <w:t xml:space="preserve">An alternative formulation for </w:t>
      </w:r>
      <w:r>
        <w:fldChar w:fldCharType="begin"/>
      </w:r>
      <w:r>
        <w:instrText xml:space="preserve"> REF _Ref8562777 \r \h </w:instrText>
      </w:r>
      <w:r>
        <w:fldChar w:fldCharType="separate"/>
      </w:r>
      <w:r>
        <w:t>(10)</w:t>
      </w:r>
      <w:r>
        <w:fldChar w:fldCharType="end"/>
      </w:r>
      <w:r>
        <w:t xml:space="preserve"> is ‘XP is a phase if and only if it constitutes a left branch’. </w:t>
      </w:r>
      <w:r w:rsidR="002A6A1A">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7" w:name="_Ref8646116"/>
      <w:r>
        <w:lastRenderedPageBreak/>
        <w:t>Labeling</w:t>
      </w:r>
      <w:bookmarkEnd w:id="17"/>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8"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t xml:space="preserve"> </w:t>
      </w:r>
      <w:r>
        <w:tab/>
        <w:t>Mary</w:t>
      </w:r>
      <w:r>
        <w:tab/>
        <w:t>[admires</w:t>
      </w:r>
      <w:r>
        <w:tab/>
        <w:t>[John’s</w:t>
      </w:r>
      <w:r>
        <w:tab/>
        <w:t>mother]]</w:t>
      </w:r>
      <w:bookmarkEnd w:id="18"/>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19" w:name="_Ref8573298"/>
      <w:bookmarkStart w:id="20" w:name="_Ref8573325"/>
      <w:bookmarkStart w:id="21"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19"/>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20"/>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1"/>
    </w:p>
    <w:p w14:paraId="06BCE00E" w14:textId="478546FD"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xml:space="preserve">. This </w:t>
      </w:r>
      <w:r w:rsidR="002D6FE7">
        <w:t xml:space="preserve">is in fact </w:t>
      </w:r>
      <w:r w:rsidR="00D07B86">
        <w:t xml:space="preserve">a </w:t>
      </w:r>
      <w:r w:rsidR="00D07B86" w:rsidRPr="002D6FE7">
        <w:rPr>
          <w:i/>
        </w:rPr>
        <w:t>defining</w:t>
      </w:r>
      <w:r w:rsidR="00D07B86">
        <w:t xml:space="preserve"> </w:t>
      </w:r>
      <w:r w:rsidR="002D6FE7">
        <w:t xml:space="preserve">feature of </w:t>
      </w:r>
      <w:r w:rsidR="00D07B86">
        <w:t>adjuncts.</w:t>
      </w:r>
      <w:r w:rsidR="00E83656">
        <w:t xml:space="preserve"> </w:t>
      </w:r>
      <w:r w:rsidR="002D6FE7">
        <w:t xml:space="preserve">If both </w:t>
      </w:r>
      <w:r w:rsidR="00E83656">
        <w:t xml:space="preserve">the left and right constituents </w:t>
      </w:r>
      <w:r w:rsidR="002D6FE7">
        <w:t xml:space="preserve">are adjuncts, the labeling algorithm will search the label from the left. This is a slightly anomalous situation, which we might consider ruling out completely. However, it leads into empirically correct results in some cases and is therefore preserved. Intuitively this means that if both the left and right constituents are adjuncts, then the left constituent is not an </w:t>
      </w:r>
      <w:r w:rsidR="00031A7C">
        <w:t xml:space="preserve">adjunct after all </w:t>
      </w:r>
      <w:r w:rsidR="002D6FE7">
        <w:t>for the purposes of labeling and selection.</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2" w:name="_Ref8631793"/>
      <w:r>
        <w:t>John + sleeps.</w:t>
      </w:r>
      <w:r>
        <w:br/>
        <w:t xml:space="preserve"> </w:t>
      </w:r>
      <w:r>
        <w:tab/>
        <w:t xml:space="preserve">    </w:t>
      </w:r>
      <w:r>
        <w:sym w:font="Symbol" w:char="F0AF"/>
      </w:r>
      <w:r>
        <w:tab/>
      </w:r>
      <w:r>
        <w:tab/>
      </w:r>
      <w:r>
        <w:sym w:font="Symbol" w:char="F0AF"/>
      </w:r>
      <w:r>
        <w:br/>
        <w:t xml:space="preserve"> </w:t>
      </w:r>
      <w:r>
        <w:tab/>
        <w:t>[John, sleeps]</w:t>
      </w:r>
      <w:bookmarkEnd w:id="22"/>
    </w:p>
    <w:p w14:paraId="666ED3CC" w14:textId="3308AFF2" w:rsidR="00816A25" w:rsidRDefault="00816A25" w:rsidP="00816A25">
      <w:r>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There are at least three ways to solve this problem. One solution is to reconsider the labeling </w:t>
      </w:r>
      <w:r w:rsidR="004765AE">
        <w:lastRenderedPageBreak/>
        <w:t xml:space="preserve">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w:t>
      </w:r>
      <w:r w:rsidR="00F952E7">
        <w:t>er</w:t>
      </w:r>
      <w:r w:rsidR="00A90B08">
        <w:t xml:space="preserve">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constituent” despite having no constituent </w:t>
      </w:r>
      <w:r w:rsidR="00F952E7">
        <w:t>suggest that we are still confusing something</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w:t>
      </w:r>
      <w:r w:rsidR="00F952E7">
        <w:t>, say,</w:t>
      </w:r>
      <w:r w:rsidR="0010613C">
        <w:t xml:space="preserve"> </w:t>
      </w:r>
      <w:r w:rsidR="00F952E7">
        <w:t>“</w:t>
      </w:r>
      <w:r w:rsidR="0010613C" w:rsidRPr="0010613C">
        <w:rPr>
          <w:smallCaps/>
        </w:rPr>
        <w:t>max</w:t>
      </w:r>
      <w:r w:rsidR="00F952E7">
        <w:rPr>
          <w:smallCaps/>
        </w:rPr>
        <w:t>”</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3"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3"/>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4"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4"/>
    </w:p>
    <w:p w14:paraId="7D255774" w14:textId="769DCB10" w:rsidR="00733DDA" w:rsidRDefault="00264DA9" w:rsidP="002661FF">
      <w:pPr>
        <w:pStyle w:val="Heading2"/>
        <w:rPr>
          <w:lang w:val="da-DK"/>
        </w:rPr>
      </w:pPr>
      <w:r w:rsidRPr="0090233F">
        <w:rPr>
          <w:lang w:val="da-DK"/>
        </w:rPr>
        <w:lastRenderedPageBreak/>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5"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5"/>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6" w:name="_Ref8646539"/>
      <w:r>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6"/>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7"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7"/>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w:t>
      </w:r>
      <w:r w:rsidR="00276ECD">
        <w:lastRenderedPageBreak/>
        <w:t xml:space="preserve">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50E3BE57"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3523A7E" w14:textId="56C47960" w:rsidR="00F952E7" w:rsidRDefault="00F952E7" w:rsidP="007365C1">
      <w:r>
        <w:t xml:space="preserve">An interesting situation is created by a constituent </w:t>
      </w:r>
      <w:r>
        <w:fldChar w:fldCharType="begin"/>
      </w:r>
      <w:r>
        <w:instrText xml:space="preserve"> REF _Ref9259435 \r \h </w:instrText>
      </w:r>
      <w:r>
        <w:fldChar w:fldCharType="separate"/>
      </w:r>
      <w:r>
        <w:t>(19)</w:t>
      </w:r>
      <w:r>
        <w:fldChar w:fldCharType="end"/>
      </w:r>
      <w:r>
        <w:t xml:space="preserve"> whose left and right constituents are both adjuncts.</w:t>
      </w:r>
    </w:p>
    <w:p w14:paraId="4C09DF8E" w14:textId="410E4C63" w:rsidR="00F952E7" w:rsidRDefault="00F952E7" w:rsidP="00F952E7">
      <w:pPr>
        <w:pStyle w:val="LinguisticExample"/>
      </w:pPr>
      <w:bookmarkStart w:id="28" w:name="_Ref9259435"/>
      <w:r>
        <w:t>[</w:t>
      </w:r>
      <w:r w:rsidRPr="00F952E7">
        <w:rPr>
          <w:vertAlign w:val="subscript"/>
        </w:rPr>
        <w:sym w:font="Symbol" w:char="F061"/>
      </w:r>
      <w:r>
        <w:sym w:font="Symbol" w:char="F0E1"/>
      </w:r>
      <w:r>
        <w:t>XP</w:t>
      </w:r>
      <w:r>
        <w:sym w:font="Symbol" w:char="F0F1"/>
      </w:r>
      <w:r>
        <w:t xml:space="preserve"> </w:t>
      </w:r>
      <w:r>
        <w:sym w:font="Symbol" w:char="F0E1"/>
      </w:r>
      <w:r>
        <w:t>Y</w:t>
      </w:r>
      <w:r>
        <w:t>P</w:t>
      </w:r>
      <w:r>
        <w:sym w:font="Symbol" w:char="F0F1"/>
      </w:r>
      <w:r>
        <w:t>]</w:t>
      </w:r>
      <w:bookmarkEnd w:id="28"/>
    </w:p>
    <w:p w14:paraId="3CFEC0E1" w14:textId="14B3CB06" w:rsidR="00F952E7" w:rsidRDefault="00F952E7" w:rsidP="00F952E7">
      <w:r>
        <w:t xml:space="preserve">There are several ways to deal with this scenario. One possibility is that the parser-grammar will never create them, although the configuration </w:t>
      </w:r>
      <w:r>
        <w:fldChar w:fldCharType="begin"/>
      </w:r>
      <w:r>
        <w:instrText xml:space="preserve"> REF _Ref9259435 \r \h </w:instrText>
      </w:r>
      <w:r>
        <w:fldChar w:fldCharType="separate"/>
      </w:r>
      <w:r>
        <w:t>(19)</w:t>
      </w:r>
      <w:r>
        <w:fldChar w:fldCharType="end"/>
      </w:r>
      <w:r>
        <w:t xml:space="preserve"> itself is grammatical and interpretable.</w:t>
      </w:r>
      <w:r w:rsidR="00FC7A6A">
        <w:t xml:space="preserve"> </w:t>
      </w:r>
      <w:r w:rsidR="009A300E">
        <w:t xml:space="preserve">There are, however, </w:t>
      </w:r>
      <w:proofErr w:type="gramStart"/>
      <w:r w:rsidR="009A300E">
        <w:t>fairly natural</w:t>
      </w:r>
      <w:proofErr w:type="gramEnd"/>
      <w:r w:rsidR="009A300E">
        <w:t xml:space="preserve"> situations in which it would like to create such configurations. </w:t>
      </w:r>
      <w:r w:rsidR="00FC7A6A">
        <w:t xml:space="preserve">Another is that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is explicitly blocked due to being ungrammatical or uninterpretable. </w:t>
      </w:r>
      <w:bookmarkStart w:id="29" w:name="_GoBack"/>
      <w:bookmarkEnd w:id="29"/>
      <w:r w:rsidR="00FC7A6A">
        <w:t xml:space="preserve">As things stand currently, the parser-grammar accepts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but labels them </w:t>
      </w:r>
      <w:proofErr w:type="gramStart"/>
      <w:r w:rsidR="00FC7A6A">
        <w:t>on the basis of</w:t>
      </w:r>
      <w:proofErr w:type="gramEnd"/>
      <w:r w:rsidR="00FC7A6A">
        <w:t xml:space="preserve"> the left adjunct</w:t>
      </w:r>
      <w:r w:rsidR="00EF1F37">
        <w:t xml:space="preserve"> (i.e. </w:t>
      </w:r>
      <w:r w:rsidR="00EF1F37">
        <w:sym w:font="Symbol" w:char="F061"/>
      </w:r>
      <w:r w:rsidR="00EF1F37">
        <w:t xml:space="preserve"> = X).</w:t>
      </w:r>
      <w:r w:rsidR="00451BA1">
        <w:t xml:space="preserve"> What this means intuitively is that if the right constituent is in the secondary working space, the left constituent must remain in the primary working space and be subject to labeling and selection.</w:t>
      </w:r>
      <w:r w:rsidR="00B046DC">
        <w:t xml:space="preserve"> The constituent is marked as an adjunct but treated as if it were not an adjunct by labeling</w:t>
      </w:r>
      <w:r w:rsidR="0031597D">
        <w:t xml:space="preserve"> and thus selection</w:t>
      </w:r>
      <w:r w:rsidR="00B046DC">
        <w:t>.</w:t>
      </w:r>
    </w:p>
    <w:p w14:paraId="31154C56" w14:textId="7C8B59D0" w:rsidR="00774ECC" w:rsidRDefault="00774ECC" w:rsidP="00774ECC">
      <w:pPr>
        <w:pStyle w:val="Heading2"/>
      </w:pPr>
      <w:bookmarkStart w:id="30" w:name="_Ref8648146"/>
      <w:r>
        <w:t>EPP</w:t>
      </w:r>
      <w:bookmarkEnd w:id="30"/>
    </w:p>
    <w:p w14:paraId="09018A22" w14:textId="26D0E728" w:rsidR="00B12F9B" w:rsidRPr="00B12F9B" w:rsidRDefault="00B12F9B" w:rsidP="00B12F9B">
      <w:r>
        <w:t xml:space="preserve">Some languages, such as Finnish and Icelandic, require that the specifier position of the finite tense is filled in by some phrase, but it does not matter what the label of that phrase is. This is captured by unselective </w:t>
      </w:r>
      <w:r>
        <w:lastRenderedPageBreak/>
        <w:t>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1649A8">
      <w:pPr>
        <w:pStyle w:val="Heading2"/>
      </w:pPr>
      <w:r>
        <w:t>Move</w:t>
      </w:r>
    </w:p>
    <w:p w14:paraId="54EFCAF8" w14:textId="52093133" w:rsidR="00272429" w:rsidRDefault="00272429" w:rsidP="001649A8">
      <w:pPr>
        <w:pStyle w:val="Heading3"/>
      </w:pPr>
      <w:bookmarkStart w:id="31" w:name="_Ref8648814"/>
      <w:r>
        <w:t xml:space="preserve">Why movement: </w:t>
      </w:r>
      <w:r w:rsidR="00112B85">
        <w:t>e</w:t>
      </w:r>
      <w:r>
        <w:t>ntanglement</w:t>
      </w:r>
      <w:bookmarkEnd w:id="31"/>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1649A8">
      <w:pPr>
        <w:pStyle w:val="Heading3"/>
      </w:pPr>
      <w:bookmarkStart w:id="32" w:name="_Ref8648432"/>
      <w:r>
        <w:t>A´/A reconstruction</w:t>
      </w:r>
      <w:bookmarkEnd w:id="32"/>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phrase 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3" w:name="_Ref8722620"/>
      <w:r>
        <w:t>A´-reconstruction and criterial features</w:t>
      </w:r>
      <w:bookmarkEnd w:id="33"/>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4" w:name="_Ref8721152"/>
      <w:proofErr w:type="spellStart"/>
      <w:r>
        <w:lastRenderedPageBreak/>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4"/>
    </w:p>
    <w:p w14:paraId="1EF1B70C" w14:textId="27CB63AA"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whole </w:t>
      </w:r>
      <w:r w:rsidR="00676F35">
        <w:t xml:space="preserve">function </w:t>
      </w:r>
      <w:r w:rsidR="000A7685">
        <w:t>of movement</w:t>
      </w:r>
      <w:r w:rsidR="00676F35">
        <w:t xml:space="preserve"> in this </w:t>
      </w:r>
      <w:proofErr w:type="gramStart"/>
      <w:r w:rsidR="00676F35">
        <w:t>particular case</w:t>
      </w:r>
      <w:proofErr w:type="gramEnd"/>
      <w:r w:rsidR="000A7685">
        <w:t>: to signal the force and scope of the interrogative clause.</w:t>
      </w:r>
    </w:p>
    <w:p w14:paraId="346401EA" w14:textId="5CE1106F" w:rsidR="00B92D6C" w:rsidRDefault="00B92D6C" w:rsidP="00B92D6C">
      <w:pPr>
        <w:pStyle w:val="LinguisticExample"/>
      </w:pPr>
      <w:bookmarkStart w:id="35"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5"/>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6" w:name="_Ref8721929"/>
      <w:r>
        <w:lastRenderedPageBreak/>
        <w:t>Who</w:t>
      </w:r>
      <w:r>
        <w:tab/>
      </w:r>
      <w:r>
        <w:tab/>
        <w:t>does</w:t>
      </w:r>
      <w:r>
        <w:tab/>
      </w:r>
      <w:r>
        <w:tab/>
        <w:t>John</w:t>
      </w:r>
      <w:r>
        <w:tab/>
      </w:r>
      <w:r>
        <w:tab/>
        <w:t>admire</w:t>
      </w:r>
      <w:r>
        <w:tab/>
        <w:t>_</w:t>
      </w:r>
      <w:r w:rsidR="00C70C58">
        <w:t>_</w:t>
      </w:r>
      <w:r>
        <w:t>?</w:t>
      </w:r>
      <w:bookmarkEnd w:id="36"/>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4A0C5791"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rsidR="00861817">
        <w:fldChar w:fldCharType="separate"/>
      </w:r>
      <w:r w:rsidR="00067818" w:rsidRPr="00067818">
        <w:rPr>
          <w:noProof/>
        </w:rPr>
        <w:t>(Brattico and Chesi 2019a)</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7"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7"/>
      <w:r w:rsidR="00B43FC8" w:rsidRPr="00FE4488">
        <w:t xml:space="preserve"> </w:t>
      </w:r>
    </w:p>
    <w:p w14:paraId="1D099B42" w14:textId="0F5E8FD3" w:rsidR="000644A0" w:rsidRPr="00FE4488" w:rsidRDefault="000644A0" w:rsidP="000644A0">
      <w:r>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1649A8">
      <w:pPr>
        <w:pStyle w:val="Heading3"/>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8" w:name="_Ref8729467"/>
      <w:r>
        <w:rPr>
          <w:lang w:val="fi-FI"/>
        </w:rPr>
        <w:lastRenderedPageBreak/>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8"/>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9"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9"/>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Notice that by “defining complex” constituent as one that has both the left and right constituent, [</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40"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40"/>
    </w:p>
    <w:p w14:paraId="7B4996CA" w14:textId="348DF6AC" w:rsidR="008E313A" w:rsidRDefault="008E313A" w:rsidP="008E313A">
      <w:r w:rsidRPr="008E313A">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w:t>
      </w:r>
      <w:r w:rsidR="00702D5F">
        <w:lastRenderedPageBreak/>
        <w:t xml:space="preserve">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41"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41"/>
    </w:p>
    <w:p w14:paraId="575A13AA" w14:textId="4B242435" w:rsidR="00272429" w:rsidRDefault="00272429" w:rsidP="001649A8">
      <w:pPr>
        <w:pStyle w:val="Heading3"/>
      </w:pPr>
      <w:bookmarkStart w:id="42" w:name="_Ref8647548"/>
      <w:r>
        <w:t>Adjunct reconstruction</w:t>
      </w:r>
      <w:bookmarkEnd w:id="42"/>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BF11C0">
        <w:rPr>
          <w:lang w:val="fi-FI"/>
        </w:rPr>
        <w:br/>
      </w:r>
      <w:bookmarkStart w:id="43"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3"/>
    </w:p>
    <w:p w14:paraId="71516835" w14:textId="4EE1D912" w:rsidR="001D56D7" w:rsidRDefault="007B596E" w:rsidP="001D56D7">
      <w:r>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5B2FDA">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4" w:name="_Ref8750738"/>
      <w:r>
        <w:t xml:space="preserve"> </w:t>
      </w:r>
      <w:bookmarkStart w:id="45"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r>
      <w:r>
        <w:lastRenderedPageBreak/>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4"/>
      <w:bookmarkEnd w:id="45"/>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6"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 xml:space="preserve">2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6"/>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7"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7"/>
    </w:p>
    <w:p w14:paraId="2A2B1129" w14:textId="72807BD8" w:rsidR="000240CF" w:rsidRDefault="000240CF" w:rsidP="000240CF">
      <w:pPr>
        <w:pStyle w:val="Heading2"/>
      </w:pPr>
      <w:r>
        <w:t>Lexicon</w:t>
      </w:r>
      <w:r w:rsidR="00475B14">
        <w:t xml:space="preserve"> and morphology</w:t>
      </w:r>
    </w:p>
    <w:p w14:paraId="461BFD56" w14:textId="6262E7E9"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8804DF">
        <w:t xml:space="preserve">This corresponds with an automatized pattern recognition procedure. </w:t>
      </w:r>
      <w:r w:rsidR="00A04745">
        <w:t xml:space="preserve">The decomposition </w:t>
      </w:r>
      <w:r w:rsidR="004373DF">
        <w:lastRenderedPageBreak/>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r w:rsidR="005B2FDA">
        <w:t>Notice the reversed order.</w:t>
      </w:r>
    </w:p>
    <w:p w14:paraId="3D81BAFD" w14:textId="386578B6" w:rsidR="006B6010" w:rsidRDefault="006B6010" w:rsidP="006B6010">
      <w:pPr>
        <w:pStyle w:val="LinguisticExample"/>
      </w:pPr>
      <w:bookmarkStart w:id="48"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8"/>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6012BD33" w14:textId="16BA23C7" w:rsidR="006C33EC" w:rsidRDefault="00D8412A" w:rsidP="00D8412A">
      <w:r>
        <w:t xml:space="preserve">The </w:t>
      </w:r>
      <w:r w:rsidR="004373DF">
        <w:t xml:space="preserve">primitive </w:t>
      </w:r>
      <w:r>
        <w:t>morphemes are matched with the lexicon</w:t>
      </w:r>
      <w:r w:rsidR="004373DF">
        <w:t xml:space="preserve"> (the </w:t>
      </w:r>
      <w:r w:rsidR="00262B27">
        <w:t xml:space="preserve">same </w:t>
      </w:r>
      <w:r w:rsidR="004373DF">
        <w:t>table-lookup) and retrieve lexical items. Lexical items are provided to the syntax as primitive constituents</w:t>
      </w:r>
      <w:r w:rsidR="005B2FDA">
        <w:t>, with all their properties (features) coming from the lexicon</w:t>
      </w:r>
      <w:r w:rsidR="004373DF">
        <w:t>.</w:t>
      </w:r>
      <w:r w:rsidR="00262B27">
        <w:t xml:space="preserve"> Another morphological system is comprised of generative morphology that </w:t>
      </w:r>
      <w:r w:rsidR="00F27907">
        <w:t xml:space="preserve">called </w:t>
      </w:r>
      <w:r w:rsidR="008804DF">
        <w:t xml:space="preserve">when </w:t>
      </w:r>
      <w:r w:rsidR="00F27907">
        <w:t xml:space="preserve">an </w:t>
      </w:r>
      <w:r w:rsidR="008804DF">
        <w:t>input word does not match with anything in the table-lookup dictionary.</w:t>
      </w:r>
      <w:r w:rsidR="00F27907">
        <w:t xml:space="preserve"> Generative morphology parses unrecognized words a</w:t>
      </w:r>
      <w:r w:rsidR="009D3F18">
        <w:t>n</w:t>
      </w:r>
      <w:r w:rsidR="00F27907">
        <w:t>d guess</w:t>
      </w:r>
      <w:r w:rsidR="009D3F18">
        <w:t>es</w:t>
      </w:r>
      <w:r w:rsidR="00F27907">
        <w:t xml:space="preserve"> their feature composition (e.g., label).</w:t>
      </w:r>
      <w:r w:rsidR="008149E5">
        <w:t xml:space="preserve"> </w:t>
      </w:r>
    </w:p>
    <w:p w14:paraId="3E0A0F8C" w14:textId="7F7111C3" w:rsidR="00D8412A" w:rsidRDefault="008149E5" w:rsidP="00D8412A">
      <w:r>
        <w:t xml:space="preserve">Inflectional features </w:t>
      </w:r>
      <w:r w:rsidR="006C33EC">
        <w:t xml:space="preserve">(such as case suffixes) </w:t>
      </w:r>
      <w:r>
        <w:t xml:space="preserve">are listed in the lexicon </w:t>
      </w:r>
      <w:r w:rsidR="00A81048">
        <w:t xml:space="preserve">as items that have no </w:t>
      </w:r>
      <w:r>
        <w:t>morphemic content.</w:t>
      </w:r>
      <w:r w:rsidR="00A81048">
        <w:t xml:space="preserve"> </w:t>
      </w:r>
      <w:r w:rsidR="00001E39">
        <w:t xml:space="preserve">They </w:t>
      </w:r>
      <w:r w:rsidR="00A81048">
        <w:t>are extracted like morphemes</w:t>
      </w:r>
      <w:r w:rsidR="00001E39">
        <w:t>, inserted into the input</w:t>
      </w:r>
      <w:r w:rsidR="00163B51">
        <w:t xml:space="preserve"> sequence</w:t>
      </w:r>
      <w:r w:rsidR="00001E39">
        <w:t>,</w:t>
      </w:r>
      <w:r w:rsidR="00A81048">
        <w:t xml:space="preserve"> but converted into </w:t>
      </w:r>
      <w:r w:rsidR="00A81048" w:rsidRPr="000502AF">
        <w:rPr>
          <w:i/>
        </w:rPr>
        <w:t>features</w:t>
      </w:r>
      <w:r w:rsidR="00A81048">
        <w:t xml:space="preserve"> instead of morphemes in syntax.</w:t>
      </w:r>
      <w:r w:rsidR="00001E39">
        <w:t xml:space="preserve"> </w:t>
      </w:r>
      <w:r w:rsidR="00641869">
        <w:t xml:space="preserve">An inflectional feature F in a sequence </w:t>
      </w:r>
      <w:r w:rsidR="00641869" w:rsidRPr="00641869">
        <w:rPr>
          <w:i/>
        </w:rPr>
        <w:t>m</w:t>
      </w:r>
      <w:r w:rsidR="00641869" w:rsidRPr="00641869">
        <w:rPr>
          <w:vertAlign w:val="subscript"/>
        </w:rPr>
        <w:t>1</w:t>
      </w:r>
      <w:r w:rsidR="00641869">
        <w:t>#...</w:t>
      </w:r>
      <w:proofErr w:type="spellStart"/>
      <w:r w:rsidR="00641869" w:rsidRPr="00641869">
        <w:rPr>
          <w:i/>
        </w:rPr>
        <w:t>m</w:t>
      </w:r>
      <w:r w:rsidR="00641869" w:rsidRPr="00641869">
        <w:rPr>
          <w:vertAlign w:val="subscript"/>
        </w:rPr>
        <w:t>i</w:t>
      </w:r>
      <w:r w:rsidR="00641869">
        <w:t>#F</w:t>
      </w:r>
      <w:proofErr w:type="spellEnd"/>
      <w:r w:rsidR="00641869">
        <w:t xml:space="preserve"> will become a feature of the preceding morpheme </w:t>
      </w:r>
      <w:r w:rsidR="00641869" w:rsidRPr="00641869">
        <w:rPr>
          <w:i/>
        </w:rPr>
        <w:t>m</w:t>
      </w:r>
      <w:r w:rsidR="00641869" w:rsidRPr="00641869">
        <w:rPr>
          <w:vertAlign w:val="subscript"/>
        </w:rPr>
        <w:t>i</w:t>
      </w:r>
      <w:r w:rsidR="0044136D">
        <w:t>:</w:t>
      </w:r>
      <w:r w:rsidR="00E84C5B">
        <w:t xml:space="preserve"> </w:t>
      </w:r>
      <w:r w:rsidR="00E84C5B">
        <w:rPr>
          <w:i/>
        </w:rPr>
        <w:t>Merja-a</w:t>
      </w:r>
      <w:r w:rsidR="00E84C5B">
        <w:t xml:space="preserve"> </w:t>
      </w:r>
      <w:r w:rsidR="00E338E4">
        <w:t>‘</w:t>
      </w:r>
      <w:proofErr w:type="spellStart"/>
      <w:r w:rsidR="00E338E4">
        <w:t>Merja.par</w:t>
      </w:r>
      <w:proofErr w:type="spellEnd"/>
      <w:r w:rsidR="00E338E4">
        <w:t xml:space="preserve">’ </w:t>
      </w:r>
      <w:r w:rsidR="00E84C5B">
        <w:t xml:space="preserve">= </w:t>
      </w:r>
      <w:proofErr w:type="spellStart"/>
      <w:r w:rsidR="00E84C5B">
        <w:t>N#D#par</w:t>
      </w:r>
      <w:proofErr w:type="spellEnd"/>
      <w:r w:rsidR="00E84C5B">
        <w:t xml:space="preserve"> = [</w:t>
      </w:r>
      <w:proofErr w:type="gramStart"/>
      <w:r w:rsidR="00E84C5B">
        <w:t>D</w:t>
      </w:r>
      <w:r w:rsidR="00572949">
        <w:t>(</w:t>
      </w:r>
      <w:proofErr w:type="gramEnd"/>
      <w:r w:rsidR="00E84C5B">
        <w:t>par</w:t>
      </w:r>
      <w:r w:rsidR="001506CC">
        <w:t>, def…</w:t>
      </w:r>
      <w:r w:rsidR="00572949">
        <w:t>)</w:t>
      </w:r>
      <w:r w:rsidR="00E84C5B">
        <w:t xml:space="preserve"> N]</w:t>
      </w:r>
      <w:r w:rsidR="000D1585">
        <w:t>.</w:t>
      </w:r>
      <w:r w:rsidR="001506CC">
        <w:t xml:space="preserve"> </w:t>
      </w:r>
    </w:p>
    <w:p w14:paraId="7306C203" w14:textId="3DD0D452" w:rsidR="005B2FDA" w:rsidRDefault="005B2FDA" w:rsidP="00D8412A">
      <w:r>
        <w:t xml:space="preserve">Lexical features emerge from three distinct sources. One source is the </w:t>
      </w:r>
      <w:r w:rsidR="00205AB2">
        <w:t xml:space="preserve">language-specific </w:t>
      </w:r>
      <w:r>
        <w:t xml:space="preserve">lexicon, which stores information that is specific to a </w:t>
      </w:r>
      <w:proofErr w:type="gramStart"/>
      <w:r>
        <w:t>particular lexical</w:t>
      </w:r>
      <w:proofErr w:type="gramEnd"/>
      <w:r>
        <w:t xml:space="preserve"> item</w:t>
      </w:r>
      <w:r w:rsidR="00205AB2">
        <w:t xml:space="preserve"> in a particular language</w:t>
      </w:r>
      <w:r>
        <w:t xml:space="preserve">. For example, the Finnish sentential negation behaves like an auxiliary, agrees in </w:t>
      </w:r>
      <w:r>
        <w:sym w:font="Symbol" w:char="F06A"/>
      </w:r>
      <w:r>
        <w:t xml:space="preserve">-features, and occurs above the finite tense node in Finnish </w:t>
      </w:r>
      <w:r>
        <w:fldChar w:fldCharType="begin" w:fldLock="1"/>
      </w:r>
      <w:r w:rsidR="00067818">
        <w:instrText>ADDIN CSL_CITATION {"citationItems":[{"id":"ITEM-1","itemData":{"author":[{"dropping-particle":"","family":"Holmberg","given":"Anders","non-dropping-particle":"","parse-names":false,"suffix":""},{"dropping-particle":"","family":"Nikanne","given":"Urpo","non-dropping-particle":"","parse-names":false,"suffix":""},{"dropping-particle":"","family":"Oraviita","given":"Irmeli","non-dropping-particle":"","parse-names":false,"suffix":""},{"dropping-particle":"","family":"Reime","given":"Hannu","non-dropping-particle":"","parse-names":false,"suffix":""},{"dropping-particle":"","family":"Trosterud","given":"Trond","non-dropping-particle":"","parse-names":false,"suffix":""}],"container-title":"Case and other functional categories in Finnish syntax","editor":[{"dropping-particle":"","family":"Holmberg","given":"Anders","non-dropping-particle":"","parse-names":false,"suffix":""},{"dropping-particle":"","family":"Nikanne","given":"Urpo","non-dropping-particle":"","parse-names":false,"suffix":""}],"id":"ITEM-1","issued":{"date-parts":[["1993"]]},"page":"177-206","publisher":"Mouton de Gruyter","title":"The Structure of INFL and the Finite Clause in Finnish","type":"chapter"},"uris":["http://www.mendeley.com/documents/?uuid=5420fb6d-0025-4cbe-9b63-78e380302b0a"]}],"mendeley":{"formattedCitation":"(Holmberg et al. 1993)","plainTextFormattedCitation":"(Holmberg et al. 1993)","previouslyFormattedCitation":"(Holmberg et al. 1993)"},"properties":{"noteIndex":0},"schema":"https://github.com/citation-style-language/schema/raw/master/csl-citation.json"}</w:instrText>
      </w:r>
      <w:r>
        <w:fldChar w:fldCharType="separate"/>
      </w:r>
      <w:r w:rsidRPr="005B2FDA">
        <w:rPr>
          <w:noProof/>
        </w:rPr>
        <w:t>(Holmberg et al. 1993)</w:t>
      </w:r>
      <w:r>
        <w:fldChar w:fldCharType="end"/>
      </w:r>
      <w:r>
        <w:t xml:space="preserve">. </w:t>
      </w:r>
      <w:r w:rsidR="00205AB2">
        <w:t>It</w:t>
      </w:r>
      <w:r w:rsidR="00103535">
        <w:t>s</w:t>
      </w:r>
      <w:r w:rsidR="00205AB2">
        <w:t xml:space="preserve"> properties differ from the English negation </w:t>
      </w:r>
      <w:r w:rsidR="00205AB2" w:rsidRPr="00205AB2">
        <w:rPr>
          <w:i/>
        </w:rPr>
        <w:t>not</w:t>
      </w:r>
      <w:r w:rsidR="00205AB2">
        <w:t xml:space="preserve">. Some of these properties are so idiosyncratic that they must be part of the language-specific lexicon. </w:t>
      </w:r>
      <w:r w:rsidR="00F831BD">
        <w:t>One such property could be the fact that the negation selects T as a complement</w:t>
      </w:r>
      <w:r w:rsidR="000F5D14">
        <w:t>, which must be stated in the language-specific lexicon</w:t>
      </w:r>
      <w:r w:rsidR="0044136D">
        <w:t xml:space="preserve"> to prevent the same rule from applying to the English </w:t>
      </w:r>
      <w:r w:rsidR="0044136D" w:rsidRPr="0044136D">
        <w:rPr>
          <w:i/>
        </w:rPr>
        <w:t>not</w:t>
      </w:r>
      <w:r w:rsidR="000F5D14">
        <w:t xml:space="preserve">. It is assumed that language-specific features </w:t>
      </w:r>
      <w:r w:rsidR="000F5D14" w:rsidRPr="000F5D14">
        <w:rPr>
          <w:i/>
        </w:rPr>
        <w:t>override</w:t>
      </w:r>
      <w:r w:rsidR="000F5D14">
        <w:t xml:space="preserve"> features emerging from the two remaining sources if there is a conflict.</w:t>
      </w:r>
    </w:p>
    <w:p w14:paraId="451021DC" w14:textId="1887CE21" w:rsidR="002D0743" w:rsidRDefault="002D0743" w:rsidP="00D8412A">
      <w:r>
        <w:t xml:space="preserve">Another source of </w:t>
      </w:r>
      <w:r w:rsidR="00F5266B">
        <w:t xml:space="preserve">lexical </w:t>
      </w:r>
      <w:r>
        <w:t xml:space="preserve">features comes from a set of universal redundancy rules. For example, the fact that the small verb v selects for V need not be listed separately in connection with each transitive verb. This fact emerges from a list of universal </w:t>
      </w:r>
      <w:r w:rsidRPr="00CA49F0">
        <w:t>redundancy rules</w:t>
      </w:r>
      <w:r>
        <w:t xml:space="preserve"> which are stored as feature implications. In this case, the </w:t>
      </w:r>
      <w:r w:rsidR="00CA49F0">
        <w:t xml:space="preserve">redundancy </w:t>
      </w:r>
      <w:r>
        <w:t>rule states that the feature [</w:t>
      </w:r>
      <w:proofErr w:type="spellStart"/>
      <w:proofErr w:type="gramStart"/>
      <w:r w:rsidRPr="002D0743">
        <w:rPr>
          <w:smallCaps/>
        </w:rPr>
        <w:t>cat:</w:t>
      </w:r>
      <w:r w:rsidRPr="003774E5">
        <w:t>v</w:t>
      </w:r>
      <w:proofErr w:type="spellEnd"/>
      <w:proofErr w:type="gramEnd"/>
      <w:r>
        <w:t>] implies the existence of feature [</w:t>
      </w:r>
      <w:proofErr w:type="spellStart"/>
      <w:r w:rsidRPr="002D0743">
        <w:rPr>
          <w:smallCaps/>
        </w:rPr>
        <w:t>comp:</w:t>
      </w:r>
      <w:r w:rsidR="00483456">
        <w:rPr>
          <w:smallCaps/>
        </w:rPr>
        <w:t>v</w:t>
      </w:r>
      <w:proofErr w:type="spellEnd"/>
      <w:r>
        <w:t>]</w:t>
      </w:r>
      <w:r w:rsidR="002176AC">
        <w:t>.</w:t>
      </w:r>
      <w:r w:rsidR="001539E3">
        <w:t xml:space="preserve"> Broad verb classes (e.g., transitive, </w:t>
      </w:r>
      <w:proofErr w:type="spellStart"/>
      <w:r w:rsidR="001539E3">
        <w:t>unaccusative</w:t>
      </w:r>
      <w:proofErr w:type="spellEnd"/>
      <w:r w:rsidR="001539E3">
        <w:t xml:space="preserve">) can be defined as </w:t>
      </w:r>
      <w:r w:rsidR="00794A00">
        <w:t>(</w:t>
      </w:r>
      <w:r w:rsidR="001539E3">
        <w:t>macro</w:t>
      </w:r>
      <w:r w:rsidR="00794A00">
        <w:t>)</w:t>
      </w:r>
      <w:r w:rsidR="001539E3">
        <w:t xml:space="preserve">features that are associated with a set of redundancy rules. </w:t>
      </w:r>
      <w:r w:rsidR="00BC71FD">
        <w:t xml:space="preserve"> Redundancy rules are not ‘lexical’; instead, they describe </w:t>
      </w:r>
      <w:r w:rsidR="00360777">
        <w:t xml:space="preserve">lawful connections </w:t>
      </w:r>
      <w:r w:rsidR="00BC71FD">
        <w:t>between features</w:t>
      </w:r>
      <w:r w:rsidR="00762EF9">
        <w:t xml:space="preserve">, a type of </w:t>
      </w:r>
      <w:proofErr w:type="gramStart"/>
      <w:r w:rsidR="00762EF9">
        <w:t>mini-grammar</w:t>
      </w:r>
      <w:proofErr w:type="gramEnd"/>
      <w:r w:rsidR="00BC71FD">
        <w:t>.</w:t>
      </w:r>
      <w:r w:rsidR="005B6880">
        <w:t xml:space="preserve"> The rule ‘[</w:t>
      </w:r>
      <w:proofErr w:type="spellStart"/>
      <w:proofErr w:type="gramStart"/>
      <w:r w:rsidR="005B6880" w:rsidRPr="005B6880">
        <w:rPr>
          <w:smallCaps/>
        </w:rPr>
        <w:t>cat</w:t>
      </w:r>
      <w:r w:rsidR="005B6880">
        <w:t>:v</w:t>
      </w:r>
      <w:proofErr w:type="spellEnd"/>
      <w:proofErr w:type="gramEnd"/>
      <w:r w:rsidR="005B6880">
        <w:t xml:space="preserve">] </w:t>
      </w:r>
      <w:r w:rsidR="005B6880">
        <w:sym w:font="Symbol" w:char="F0AE"/>
      </w:r>
      <w:r w:rsidR="005B6880">
        <w:t xml:space="preserve"> [</w:t>
      </w:r>
      <w:proofErr w:type="spellStart"/>
      <w:r w:rsidR="005B6880" w:rsidRPr="005B6880">
        <w:rPr>
          <w:smallCaps/>
        </w:rPr>
        <w:t>comp:v</w:t>
      </w:r>
      <w:proofErr w:type="spellEnd"/>
      <w:r w:rsidR="005B6880">
        <w:t>]’</w:t>
      </w:r>
      <w:r w:rsidR="00A52AF1">
        <w:t>, for example,</w:t>
      </w:r>
      <w:r w:rsidR="005B6880">
        <w:t xml:space="preserve"> provides that the functional element v is ungrammatical/uninterpretable without a verbal complement.</w:t>
      </w:r>
    </w:p>
    <w:p w14:paraId="2CFB94CB" w14:textId="54A762A7" w:rsidR="00A52AF1" w:rsidRDefault="00A52AF1" w:rsidP="00D8412A">
      <w:r>
        <w:t>A third source of lexical features comes from a curious set of parametric rules. For example, it turns out that in Finnish most heads that have the [</w:t>
      </w:r>
      <w:r w:rsidRPr="00A52AF1">
        <w:rPr>
          <w:smallCaps/>
        </w:rPr>
        <w:t>spec:*</w:t>
      </w:r>
      <w:r>
        <w:t xml:space="preserve">] feature also exhibit </w:t>
      </w:r>
      <w:r>
        <w:sym w:font="Symbol" w:char="F06A"/>
      </w:r>
      <w:r>
        <w:t>-agreement in some context (e.g., prepositions, noun heads), whereas the same functional head</w:t>
      </w:r>
      <w:r w:rsidR="00C635E1">
        <w:t>s</w:t>
      </w:r>
      <w:r>
        <w:t xml:space="preserve"> in English have neither</w:t>
      </w:r>
      <w:r w:rsidR="00067818">
        <w:t xml:space="preserve"> </w:t>
      </w:r>
      <w:r w:rsidR="00067818">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EPP, Agree and secondary wh-movement","type":"article-journal"},"uris":["http://www.mendeley.com/documents/?uuid=8cfd8c1f-7a34-47e3-8085-5d2906c076c4"]}],"mendeley":{"formattedCitation":"(Brattico and Chesi 2019b)","plainTextFormattedCitation":"(Brattico and Chesi 2019b)"},"properties":{"noteIndex":0},"schema":"https://github.com/citation-style-language/schema/raw/master/csl-citation.json"}</w:instrText>
      </w:r>
      <w:r w:rsidR="00067818">
        <w:fldChar w:fldCharType="separate"/>
      </w:r>
      <w:r w:rsidR="00067818" w:rsidRPr="00067818">
        <w:rPr>
          <w:noProof/>
        </w:rPr>
        <w:t xml:space="preserve">(Brattico and Chesi </w:t>
      </w:r>
      <w:r w:rsidR="00067818" w:rsidRPr="00067818">
        <w:rPr>
          <w:noProof/>
        </w:rPr>
        <w:lastRenderedPageBreak/>
        <w:t>2019b)</w:t>
      </w:r>
      <w:r w:rsidR="00067818">
        <w:fldChar w:fldCharType="end"/>
      </w:r>
      <w:r>
        <w:t>.</w:t>
      </w:r>
      <w:r w:rsidR="00AB115F">
        <w:t xml:space="preserve"> Such generalizations could be stored in the language-specific lexicon, but this would be redundant to the extent that a general rule is at stake. Because the rule is still language-specific, it cannot be part of the list of universal redundancy rules.</w:t>
      </w:r>
      <w:r w:rsidR="0053105B">
        <w:t xml:space="preserve"> It is unclear what the source and implementation of these rules is</w:t>
      </w:r>
      <w:r w:rsidR="00B240B6">
        <w:t xml:space="preserve">; they look like language-specific parts </w:t>
      </w:r>
      <w:r w:rsidR="00F74031">
        <w:t xml:space="preserve">(or parametrizations) </w:t>
      </w:r>
      <w:r w:rsidR="00B240B6">
        <w:t xml:space="preserve">of the mini-grammar defined by the redundancy rules, but it is unclear what </w:t>
      </w:r>
      <w:r w:rsidR="00F74031">
        <w:t xml:space="preserve">the term </w:t>
      </w:r>
      <w:r w:rsidR="00B240B6">
        <w:t xml:space="preserve">‘language-specific’ really means </w:t>
      </w:r>
      <w:r w:rsidR="00C312F1">
        <w:t>and what it means to have ‘parameters’</w:t>
      </w:r>
      <w:r w:rsidR="00B240B6">
        <w:t xml:space="preserve">. </w:t>
      </w:r>
      <w:r w:rsidR="007716D0">
        <w:t xml:space="preserve">These regularities are, therefore, </w:t>
      </w:r>
      <w:r w:rsidR="00246957">
        <w:t xml:space="preserve">stipulated </w:t>
      </w:r>
      <w:r w:rsidR="00B24062">
        <w:t xml:space="preserve">in a third component of the lexicon. </w:t>
      </w:r>
    </w:p>
    <w:p w14:paraId="348092B6" w14:textId="27C1E882" w:rsidR="00D20E96" w:rsidRDefault="00D20E96" w:rsidP="00D8412A">
      <w:r>
        <w:t>When a lexical item is retrieved, its feature content is first fetched from the language specific lexicon and is then processed through the redundancy rules and parameters.</w:t>
      </w:r>
      <w:r w:rsidR="008D0EAC">
        <w:t xml:space="preserve"> If there is a conflict, the language-specific lexicon wins.</w:t>
      </w:r>
    </w:p>
    <w:p w14:paraId="55019E0A" w14:textId="69266EB5" w:rsidR="00710E38" w:rsidRDefault="00EB6006" w:rsidP="00D8412A">
      <w:r>
        <w:t>Lexical features constitute an unstructured set</w:t>
      </w:r>
      <w:r w:rsidR="00065B84">
        <w:t xml:space="preserve">, but </w:t>
      </w:r>
      <w:r w:rsidR="00653244">
        <w:t xml:space="preserve">the </w:t>
      </w:r>
      <w:r w:rsidR="00065B84">
        <w:t xml:space="preserve">features </w:t>
      </w:r>
      <w:r w:rsidR="00653244">
        <w:t xml:space="preserve">themselves </w:t>
      </w:r>
      <w:r w:rsidR="00065B84">
        <w:t xml:space="preserve">can constitute </w:t>
      </w:r>
      <w:r w:rsidR="002B0791">
        <w:t>‘</w:t>
      </w:r>
      <w:proofErr w:type="spellStart"/>
      <w:r w:rsidR="00065B84">
        <w:t>type:value</w:t>
      </w:r>
      <w:proofErr w:type="spellEnd"/>
      <w:r w:rsidR="002B0791">
        <w:t>’</w:t>
      </w:r>
      <w:r w:rsidR="00065B84">
        <w:t xml:space="preserve"> pairs. For example, labels are provides as values (</w:t>
      </w:r>
      <w:r w:rsidR="00065B84" w:rsidRPr="00065B84">
        <w:rPr>
          <w:smallCaps/>
        </w:rPr>
        <w:t>n, v, a</w:t>
      </w:r>
      <w:r w:rsidR="00065B84">
        <w:t xml:space="preserve">, …) of the type </w:t>
      </w:r>
      <w:proofErr w:type="gramStart"/>
      <w:r w:rsidR="00065B84" w:rsidRPr="00065B84">
        <w:rPr>
          <w:smallCaps/>
        </w:rPr>
        <w:t>cat</w:t>
      </w:r>
      <w:r w:rsidR="00065B84">
        <w:t>(</w:t>
      </w:r>
      <w:proofErr w:type="spellStart"/>
      <w:proofErr w:type="gramEnd"/>
      <w:r w:rsidR="00065B84">
        <w:t>egory</w:t>
      </w:r>
      <w:proofErr w:type="spellEnd"/>
      <w:r w:rsidR="00065B84">
        <w:t>).</w:t>
      </w:r>
      <w:r w:rsidR="00C63FD5">
        <w:t xml:space="preserve"> </w:t>
      </w:r>
    </w:p>
    <w:p w14:paraId="02721403" w14:textId="6E656A92" w:rsidR="00021873" w:rsidRDefault="00021873" w:rsidP="00021873">
      <w:pPr>
        <w:pStyle w:val="Heading2"/>
      </w:pPr>
      <w:r>
        <w:t>Argument structure</w:t>
      </w:r>
    </w:p>
    <w:p w14:paraId="43B66364" w14:textId="177768E3" w:rsidR="00021873" w:rsidRDefault="00021873" w:rsidP="00021873">
      <w:r>
        <w:t>The term “argument structure” refers to the structure of thematic arguments at their canonical LF-positions, the latter which are defined both by means of theta role assignment and by tail-head dependencies. The parser-grammar will usually have to reconstruct the argument structure from the input string due to several displacement operations.</w:t>
      </w:r>
    </w:p>
    <w:p w14:paraId="5AFF8615" w14:textId="01049C3B" w:rsidR="00021873" w:rsidRDefault="00021873" w:rsidP="00021873">
      <w:r>
        <w:t xml:space="preserve">The thematic role of ‘agent’ is assigned at LF by the small verb v to its specifier. The small verb therefore has a </w:t>
      </w:r>
      <w:proofErr w:type="gramStart"/>
      <w:r>
        <w:t>[!</w:t>
      </w:r>
      <w:proofErr w:type="spellStart"/>
      <w:r w:rsidRPr="00021873">
        <w:rPr>
          <w:smallCaps/>
        </w:rPr>
        <w:t>spec</w:t>
      </w:r>
      <w:proofErr w:type="gramEnd"/>
      <w:r w:rsidRPr="00021873">
        <w:rPr>
          <w:smallCaps/>
        </w:rPr>
        <w:t>:d</w:t>
      </w:r>
      <w:proofErr w:type="spellEnd"/>
      <w:r>
        <w:t xml:space="preserve">] specific selection feature. A DP argument that occurs at this position will automatically receive the thematic role of ‘agent’. </w:t>
      </w:r>
      <w:r w:rsidR="00634A9C">
        <w:t xml:space="preserve">The parser-grammar does not ‘see’ the interpretation, only the selection feature. </w:t>
      </w:r>
      <w:r w:rsidR="004E50E4">
        <w:t xml:space="preserve">Thus, when examining the output of the parser, the canonical positioning of the arguments must be checked against native speaker interpretation. </w:t>
      </w:r>
      <w:r>
        <w:t>The sister of V receive</w:t>
      </w:r>
      <w:r w:rsidR="004E50E4">
        <w:t>s</w:t>
      </w:r>
      <w:r>
        <w:t xml:space="preserve"> several roles depending on the context. In a v-V structure, it will constitute the ‘patient’. In the case of an intransitive verb, we may want to distinguish left and right sisters</w:t>
      </w:r>
      <w:r w:rsidR="00BC014A">
        <w:t>: right sister getting the role of patient (unaccusatives), left sister the role of ‘agent’ (unergatives).</w:t>
      </w:r>
      <w:r w:rsidR="004E0B18">
        <w:t xml:space="preserve"> </w:t>
      </w:r>
      <w:r w:rsidR="008B2D71">
        <w:t xml:space="preserve">Their formal difference is </w:t>
      </w:r>
      <w:r w:rsidR="00816C9D">
        <w:t xml:space="preserve">such </w:t>
      </w:r>
      <w:r w:rsidR="008B2D71">
        <w:t>that a phrasal left sister of a primitive head constitutes both a complement and a specifier</w:t>
      </w:r>
      <w:r w:rsidR="008D39AE">
        <w:t xml:space="preserve"> (per formal definition of ‘specifier’ and ‘complement’)</w:t>
      </w:r>
      <w:r w:rsidR="007312BF">
        <w:t>, whereas a right sister can only constitute a complement.</w:t>
      </w:r>
      <w:r w:rsidR="003D2FF8">
        <w:t xml:space="preserve"> This means that unaccusatives and unergative verbs can be distinguished by means of lexical selection features: the latter, but not the former, can have an extra specifier selection feature</w:t>
      </w:r>
      <w:r w:rsidR="005C6EC7">
        <w:t>, correlating with a more ‘agentive’ interpretation of the argument</w:t>
      </w:r>
      <w:r w:rsidR="003D2FF8">
        <w:t>.</w:t>
      </w:r>
      <w:r w:rsidR="000F69AD">
        <w:t xml:space="preserve">  Thus, a transitive verb will project three argument positions </w:t>
      </w:r>
      <w:proofErr w:type="spellStart"/>
      <w:proofErr w:type="gramStart"/>
      <w:r w:rsidR="000F69AD">
        <w:t>Spec,vP</w:t>
      </w:r>
      <w:proofErr w:type="spellEnd"/>
      <w:proofErr w:type="gramEnd"/>
      <w:r w:rsidR="000F69AD">
        <w:t xml:space="preserve">, </w:t>
      </w:r>
      <w:proofErr w:type="spellStart"/>
      <w:r w:rsidR="000F69AD">
        <w:t>Spec,VP</w:t>
      </w:r>
      <w:proofErr w:type="spellEnd"/>
      <w:r w:rsidR="000F69AD">
        <w:t xml:space="preserve"> and </w:t>
      </w:r>
      <w:proofErr w:type="spellStart"/>
      <w:r w:rsidR="000F69AD">
        <w:t>Comp,VP</w:t>
      </w:r>
      <w:proofErr w:type="spellEnd"/>
      <w:r w:rsidR="000F69AD">
        <w:t xml:space="preserve">, whereas an intransitive two, </w:t>
      </w:r>
      <w:proofErr w:type="spellStart"/>
      <w:r w:rsidR="000F69AD">
        <w:t>Spec,VP</w:t>
      </w:r>
      <w:proofErr w:type="spellEnd"/>
      <w:r w:rsidR="000F69AD">
        <w:t xml:space="preserve"> and </w:t>
      </w:r>
      <w:proofErr w:type="spellStart"/>
      <w:r w:rsidR="000F69AD">
        <w:t>Comp,VP</w:t>
      </w:r>
      <w:proofErr w:type="spellEnd"/>
      <w:r w:rsidR="000F69AD">
        <w:t xml:space="preserve">. This means that both constructions have room for one extra </w:t>
      </w:r>
      <w:r w:rsidR="00BA0438">
        <w:t xml:space="preserve">(non-DP) </w:t>
      </w:r>
      <w:r w:rsidR="000F69AD">
        <w:t>argument, which can be filled in by the PP, if any.</w:t>
      </w:r>
      <w:r w:rsidR="00195B2E">
        <w:t xml:space="preserve"> Ditransitive</w:t>
      </w:r>
      <w:r w:rsidR="00F234DC">
        <w:t xml:space="preserve"> clauses</w:t>
      </w:r>
      <w:r w:rsidR="00195B2E">
        <w:t xml:space="preserve"> are buil</w:t>
      </w:r>
      <w:r w:rsidR="00DB436B">
        <w:t>t</w:t>
      </w:r>
      <w:r w:rsidR="00195B2E">
        <w:t xml:space="preserve"> from transitive </w:t>
      </w:r>
      <w:r w:rsidR="00F234DC">
        <w:t xml:space="preserve">template </w:t>
      </w:r>
      <w:r w:rsidR="00195B2E">
        <w:t>by adding a third (non-DP) argument.</w:t>
      </w:r>
      <w:r w:rsidR="006D4EF7">
        <w:t xml:space="preserve"> They can be selected, e.g. the </w:t>
      </w:r>
      <w:r w:rsidR="000B2427">
        <w:t xml:space="preserve">root </w:t>
      </w:r>
      <w:r w:rsidR="006D4EF7">
        <w:t xml:space="preserve">verb component </w:t>
      </w:r>
      <w:r w:rsidR="000B2427">
        <w:t xml:space="preserve">V </w:t>
      </w:r>
      <w:r w:rsidR="006D4EF7">
        <w:t xml:space="preserve">of a ditransitive </w:t>
      </w:r>
      <w:r w:rsidR="00670C97">
        <w:t xml:space="preserve">verb </w:t>
      </w:r>
      <w:r w:rsidR="006D4EF7">
        <w:t xml:space="preserve">can contains a </w:t>
      </w:r>
      <w:proofErr w:type="gramStart"/>
      <w:r w:rsidR="006D4EF7">
        <w:t>[!</w:t>
      </w:r>
      <w:proofErr w:type="spellStart"/>
      <w:r w:rsidR="006D4EF7" w:rsidRPr="006D4EF7">
        <w:rPr>
          <w:smallCaps/>
        </w:rPr>
        <w:t>spec</w:t>
      </w:r>
      <w:proofErr w:type="gramEnd"/>
      <w:r w:rsidR="006D4EF7" w:rsidRPr="006D4EF7">
        <w:rPr>
          <w:smallCaps/>
        </w:rPr>
        <w:t>:p</w:t>
      </w:r>
      <w:proofErr w:type="spellEnd"/>
      <w:r w:rsidR="006D4EF7">
        <w:t>] feature.</w:t>
      </w:r>
      <w:r w:rsidR="004E50E4">
        <w:t xml:space="preserve"> Ideally, </w:t>
      </w:r>
      <w:r w:rsidR="00276058">
        <w:t xml:space="preserve">verbal lexical entries </w:t>
      </w:r>
      <w:r w:rsidR="004E50E4">
        <w:t>should contain a label for a verb class, and that feature should be associated with its feature structure by lexical redundancy rules.</w:t>
      </w:r>
      <w:r w:rsidR="00F6315E">
        <w:t xml:space="preserve"> </w:t>
      </w:r>
    </w:p>
    <w:p w14:paraId="14DA52FD" w14:textId="553630F5" w:rsidR="000F69AD" w:rsidRDefault="00351676" w:rsidP="00021873">
      <w:r>
        <w:lastRenderedPageBreak/>
        <w:t>Adverbial</w:t>
      </w:r>
      <w:r w:rsidR="001A4A48">
        <w:t xml:space="preserve"> and other adjuncts</w:t>
      </w:r>
      <w:r>
        <w:t xml:space="preserve"> are </w:t>
      </w:r>
      <w:r w:rsidR="000F69AD">
        <w:t xml:space="preserve">associated </w:t>
      </w:r>
      <w:r>
        <w:t xml:space="preserve">with </w:t>
      </w:r>
      <w:r w:rsidR="001A4A48">
        <w:t xml:space="preserve">the event by means of tail-head relations. </w:t>
      </w:r>
      <w:r w:rsidR="00C15853">
        <w:t>A VP-adverbial, for example, must establish a tail-head relation with a V.</w:t>
      </w:r>
      <w:r w:rsidR="00D67213">
        <w:t xml:space="preserve"> Adverbial-adjunct PPs behave in the same way.</w:t>
      </w:r>
      <w:r w:rsidR="006C0AEB">
        <w:t xml:space="preserve"> The tail-head relation can involve several features. For example, the Finnish allative case (corresponding to English ‘to’</w:t>
      </w:r>
      <w:r w:rsidR="00E64854">
        <w:t xml:space="preserve"> or ‘for’</w:t>
      </w:r>
      <w:r w:rsidR="006C0AEB">
        <w:t>)</w:t>
      </w:r>
      <w:r w:rsidR="00F64706">
        <w:t xml:space="preserve"> must be linked with verbs which describe ‘directional’ events</w:t>
      </w:r>
      <w:r w:rsidR="00A5062C">
        <w:t xml:space="preserve"> </w:t>
      </w:r>
      <w:r w:rsidR="00A5062C">
        <w:fldChar w:fldCharType="begin"/>
      </w:r>
      <w:r w:rsidR="00A5062C">
        <w:instrText xml:space="preserve"> REF _Ref8811417 \r \h </w:instrText>
      </w:r>
      <w:r w:rsidR="00A5062C">
        <w:fldChar w:fldCharType="separate"/>
      </w:r>
      <w:r w:rsidR="00A5062C">
        <w:t>(33)</w:t>
      </w:r>
      <w:r w:rsidR="00A5062C">
        <w:fldChar w:fldCharType="end"/>
      </w:r>
      <w:r w:rsidR="00936ED4">
        <w:t>.</w:t>
      </w:r>
      <w:r w:rsidR="00DE6BF7">
        <w:t xml:space="preserve"> It therefore tails a feature pair </w:t>
      </w:r>
      <w:proofErr w:type="spellStart"/>
      <w:proofErr w:type="gramStart"/>
      <w:r w:rsidR="00DE6BF7" w:rsidRPr="00DE6BF7">
        <w:rPr>
          <w:smallCaps/>
        </w:rPr>
        <w:t>cat:v</w:t>
      </w:r>
      <w:proofErr w:type="spellEnd"/>
      <w:proofErr w:type="gramEnd"/>
      <w:r w:rsidR="00DE6BF7">
        <w:t xml:space="preserve">, </w:t>
      </w:r>
      <w:proofErr w:type="spellStart"/>
      <w:r w:rsidR="00DE6BF7" w:rsidRPr="00DE6BF7">
        <w:rPr>
          <w:smallCaps/>
        </w:rPr>
        <w:t>sem:directional</w:t>
      </w:r>
      <w:proofErr w:type="spellEnd"/>
      <w:r w:rsidR="00DE6BF7">
        <w:t>.</w:t>
      </w:r>
      <w:r w:rsidR="005A5C61">
        <w:t xml:space="preserve"> There is no limit on the number of features that a verb can posses and a prepositional argument that tail.</w:t>
      </w:r>
    </w:p>
    <w:p w14:paraId="101AA875" w14:textId="15AA440D" w:rsidR="00936ED4" w:rsidRPr="002B0EAB" w:rsidRDefault="00936ED4" w:rsidP="00936ED4">
      <w:pPr>
        <w:pStyle w:val="LinguisticExample"/>
        <w:rPr>
          <w:lang w:val="fi-FI"/>
        </w:rPr>
      </w:pPr>
      <w:r w:rsidRPr="00BF11C0">
        <w:rPr>
          <w:lang w:val="fi-FI"/>
        </w:rPr>
        <w:br/>
      </w:r>
      <w:bookmarkStart w:id="49" w:name="_Ref8811417"/>
      <w:r w:rsidRPr="00BF11C0">
        <w:rPr>
          <w:lang w:val="fi-FI"/>
        </w:rPr>
        <w:t>a.</w:t>
      </w:r>
      <w:r w:rsidRPr="00BF11C0">
        <w:rPr>
          <w:lang w:val="fi-FI"/>
        </w:rPr>
        <w:tab/>
        <w:t>*Pekka</w:t>
      </w:r>
      <w:r w:rsidRPr="00BF11C0">
        <w:rPr>
          <w:lang w:val="fi-FI"/>
        </w:rPr>
        <w:tab/>
      </w:r>
      <w:r w:rsidR="008E354B" w:rsidRPr="00BF11C0">
        <w:rPr>
          <w:lang w:val="fi-FI"/>
        </w:rPr>
        <w:t>näki</w:t>
      </w:r>
      <w:r w:rsidR="008E354B" w:rsidRPr="00BF11C0">
        <w:rPr>
          <w:lang w:val="fi-FI"/>
        </w:rPr>
        <w:tab/>
      </w:r>
      <w:r w:rsidRPr="00BF11C0">
        <w:rPr>
          <w:lang w:val="fi-FI"/>
        </w:rPr>
        <w:tab/>
      </w:r>
      <w:r w:rsidRPr="008E354B">
        <w:rPr>
          <w:lang w:val="fi-FI"/>
        </w:rPr>
        <w:t>Merjalle.</w:t>
      </w:r>
      <w:r w:rsidR="002B0EAB" w:rsidRPr="008E354B">
        <w:rPr>
          <w:lang w:val="fi-FI"/>
        </w:rPr>
        <w:br/>
        <w:t xml:space="preserve"> </w:t>
      </w:r>
      <w:r w:rsidR="002B0EAB" w:rsidRPr="008E354B">
        <w:rPr>
          <w:lang w:val="fi-FI"/>
        </w:rPr>
        <w:tab/>
      </w:r>
      <w:r w:rsidR="002B0EAB" w:rsidRPr="002B0EAB">
        <w:rPr>
          <w:lang w:val="fi-FI"/>
        </w:rPr>
        <w:t>Pekka</w:t>
      </w:r>
      <w:r w:rsidR="002B0EAB" w:rsidRPr="002B0EAB">
        <w:rPr>
          <w:lang w:val="fi-FI"/>
        </w:rPr>
        <w:tab/>
      </w:r>
      <w:r w:rsidR="008E354B">
        <w:rPr>
          <w:lang w:val="fi-FI"/>
        </w:rPr>
        <w:t>saw</w:t>
      </w:r>
      <w:r w:rsidR="002B0EAB" w:rsidRPr="002B0EAB">
        <w:rPr>
          <w:lang w:val="fi-FI"/>
        </w:rPr>
        <w:tab/>
      </w:r>
      <w:r w:rsidR="000F71A8">
        <w:rPr>
          <w:lang w:val="fi-FI"/>
        </w:rPr>
        <w:tab/>
      </w:r>
      <w:r w:rsidR="002B0EAB" w:rsidRPr="002B0EAB">
        <w:rPr>
          <w:lang w:val="fi-FI"/>
        </w:rPr>
        <w:t>to.Merja</w:t>
      </w:r>
      <w:r w:rsidR="002B0EAB" w:rsidRPr="002B0EAB">
        <w:rPr>
          <w:lang w:val="fi-FI"/>
        </w:rPr>
        <w:br/>
        <w:t>b.</w:t>
      </w:r>
      <w:r w:rsidR="002B0EAB" w:rsidRPr="002B0EAB">
        <w:rPr>
          <w:lang w:val="fi-FI"/>
        </w:rPr>
        <w:tab/>
        <w:t>Pek</w:t>
      </w:r>
      <w:r w:rsidR="002B0EAB">
        <w:rPr>
          <w:lang w:val="fi-FI"/>
        </w:rPr>
        <w:t>ka</w:t>
      </w:r>
      <w:r w:rsidR="002B0EAB">
        <w:rPr>
          <w:lang w:val="fi-FI"/>
        </w:rPr>
        <w:tab/>
        <w:t>huusi</w:t>
      </w:r>
      <w:r w:rsidR="002B0EAB">
        <w:rPr>
          <w:lang w:val="fi-FI"/>
        </w:rPr>
        <w:tab/>
        <w:t>Merjalle</w:t>
      </w:r>
      <w:r w:rsidR="002B0EAB">
        <w:rPr>
          <w:lang w:val="fi-FI"/>
        </w:rPr>
        <w:br/>
        <w:t xml:space="preserve"> </w:t>
      </w:r>
      <w:r w:rsidR="002B0EAB">
        <w:rPr>
          <w:lang w:val="fi-FI"/>
        </w:rPr>
        <w:tab/>
        <w:t>Pekka</w:t>
      </w:r>
      <w:r w:rsidR="002B0EAB">
        <w:rPr>
          <w:lang w:val="fi-FI"/>
        </w:rPr>
        <w:tab/>
        <w:t>yelled</w:t>
      </w:r>
      <w:r w:rsidR="002B0EAB">
        <w:rPr>
          <w:lang w:val="fi-FI"/>
        </w:rPr>
        <w:tab/>
        <w:t>at.Merja</w:t>
      </w:r>
      <w:bookmarkEnd w:id="49"/>
    </w:p>
    <w:p w14:paraId="7A60A200" w14:textId="39D9B9BE" w:rsidR="00E4557B" w:rsidRDefault="007A51BB" w:rsidP="00E4557B">
      <w:pPr>
        <w:pStyle w:val="Heading1"/>
      </w:pPr>
      <w:r>
        <w:t>Full formalization and the human language parser</w:t>
      </w:r>
    </w:p>
    <w:p w14:paraId="2A6DA044" w14:textId="1EA2709B" w:rsidR="001649A8" w:rsidRDefault="001649A8" w:rsidP="001649A8">
      <w:pPr>
        <w:pStyle w:val="Heading2"/>
      </w:pPr>
      <w:r>
        <w:t>Introduction</w:t>
      </w:r>
    </w:p>
    <w:p w14:paraId="58C6A20E" w14:textId="6E466346" w:rsidR="001649A8" w:rsidRDefault="001649A8" w:rsidP="001649A8">
      <w:r>
        <w:t xml:space="preserve">The framework delineated in Section </w:t>
      </w:r>
      <w:r>
        <w:fldChar w:fldCharType="begin"/>
      </w:r>
      <w:r>
        <w:instrText xml:space="preserve"> REF _Ref8804682 \r \h </w:instrText>
      </w:r>
      <w:r>
        <w:fldChar w:fldCharType="separate"/>
      </w:r>
      <w:r>
        <w:t>2</w:t>
      </w:r>
      <w:r>
        <w:fldChar w:fldCharType="end"/>
      </w:r>
      <w:r>
        <w:t xml:space="preserve"> consists of assumptions that follow, some of them by virtual necessity, from the assumption that parsing is incremental and uses the core computational operations such as Merge. A full formalization and computational implementation, on the other hand, requires a set of conjectures, working hypotheses and further details that can be demonstrated to be “functional” by means of computer simulation but </w:t>
      </w:r>
      <w:r w:rsidR="00CD6561">
        <w:t xml:space="preserve">are </w:t>
      </w:r>
      <w:r>
        <w:t xml:space="preserve">less inevitable and thus subject to alternative formalizations and approaches. </w:t>
      </w:r>
      <w:r w:rsidR="009C2AAB">
        <w:t>In addition, there are several ideas that are part of the overall framework but not implemented</w:t>
      </w:r>
      <w:r w:rsidR="007A51BB">
        <w:t>, such as various operation that have to do with discourse semantics and communicative pragmatics</w:t>
      </w:r>
      <w:r w:rsidR="009C2AAB">
        <w:t xml:space="preserve">. </w:t>
      </w:r>
      <w:r>
        <w:t>These ideas are collected into this section.</w:t>
      </w:r>
      <w:r w:rsidR="00E770D5">
        <w:t xml:space="preserve"> The section is organized in a top-down fashion, discussing more significant and broader issues first, followed by </w:t>
      </w:r>
      <w:r w:rsidR="009C2AAB">
        <w:t xml:space="preserve">the </w:t>
      </w:r>
      <w:r w:rsidR="00E770D5">
        <w:t xml:space="preserve">discussion of </w:t>
      </w:r>
      <w:r w:rsidR="009C2AAB">
        <w:t xml:space="preserve">the </w:t>
      </w:r>
      <w:r w:rsidR="00E770D5">
        <w:t>details.</w:t>
      </w:r>
      <w:r w:rsidR="009C2AAB">
        <w:t xml:space="preserve"> The ‘algorithm’ delineated here is assumed to represent a realistic description of the human parser</w:t>
      </w:r>
      <w:r w:rsidR="00F2566A">
        <w:t>, not a computer simulation in the sense of “automatization</w:t>
      </w:r>
      <w:r w:rsidR="007A51BB">
        <w:t xml:space="preserve">”; matters related to pure automatization </w:t>
      </w:r>
      <w:r w:rsidR="00297716">
        <w:t xml:space="preserve">and the Python implementation </w:t>
      </w:r>
      <w:r w:rsidR="007A51BB">
        <w:t xml:space="preserve">are discussed in Section </w:t>
      </w:r>
      <w:r w:rsidR="007A51BB">
        <w:fldChar w:fldCharType="begin"/>
      </w:r>
      <w:r w:rsidR="007A51BB">
        <w:instrText xml:space="preserve"> REF _Ref8805173 \r \h </w:instrText>
      </w:r>
      <w:r w:rsidR="007A51BB">
        <w:fldChar w:fldCharType="separate"/>
      </w:r>
      <w:r w:rsidR="007A51BB">
        <w:t>4</w:t>
      </w:r>
      <w:r w:rsidR="007A51BB">
        <w:fldChar w:fldCharType="end"/>
      </w:r>
      <w:r w:rsidR="007A51BB">
        <w:t>.</w:t>
      </w:r>
      <w:r w:rsidR="00297716">
        <w:t xml:space="preserve"> That section is meant as a guide for understanding the implementation.</w:t>
      </w:r>
    </w:p>
    <w:p w14:paraId="0A7877A9" w14:textId="63DB2A39" w:rsidR="00E770D5" w:rsidRDefault="00E770D5" w:rsidP="00E770D5">
      <w:pPr>
        <w:pStyle w:val="Heading2"/>
      </w:pPr>
      <w:r>
        <w:t>Overall structure of the algorithm</w:t>
      </w:r>
    </w:p>
    <w:p w14:paraId="69EFBA1A" w14:textId="06F8C158" w:rsidR="00FE0797" w:rsidRDefault="00FE0797" w:rsidP="00FE0797">
      <w:r>
        <w:t xml:space="preserve">The parser-grammar implements a </w:t>
      </w:r>
      <w:r w:rsidR="00B4257A">
        <w:t xml:space="preserve">simple </w:t>
      </w:r>
      <w:r>
        <w:t xml:space="preserve">recursion over </w:t>
      </w:r>
      <w:r w:rsidR="0044450E">
        <w:t>the whole search space defined by the ranking of the merge sites. The basic structure of the recursion is illustrated in Figure 1.</w:t>
      </w:r>
    </w:p>
    <w:p w14:paraId="02515819" w14:textId="369D9940" w:rsidR="0044450E" w:rsidRDefault="0044450E" w:rsidP="00E55AB7">
      <w:pPr>
        <w:jc w:val="center"/>
      </w:pPr>
      <w:r>
        <w:rPr>
          <w:noProof/>
        </w:rPr>
        <w:lastRenderedPageBreak/>
        <w:drawing>
          <wp:inline distT="0" distB="0" distL="0" distR="0" wp14:anchorId="3C18612C" wp14:editId="32EDA6CA">
            <wp:extent cx="4729075" cy="3827457"/>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1587" cy="3829490"/>
                    </a:xfrm>
                    <a:prstGeom prst="rect">
                      <a:avLst/>
                    </a:prstGeom>
                  </pic:spPr>
                </pic:pic>
              </a:graphicData>
            </a:graphic>
          </wp:inline>
        </w:drawing>
      </w:r>
    </w:p>
    <w:p w14:paraId="05F5DDC0" w14:textId="0DA1D292" w:rsidR="009A25BE" w:rsidRPr="00F810D6" w:rsidRDefault="009A25BE" w:rsidP="009A25BE">
      <w:pPr>
        <w:rPr>
          <w:i/>
        </w:rPr>
      </w:pPr>
      <w:bookmarkStart w:id="50" w:name="_Ref8805173"/>
      <w:r w:rsidRPr="00F810D6">
        <w:rPr>
          <w:i/>
        </w:rPr>
        <w:t>Figure 1. Structure of the language comprehension algorithm.</w:t>
      </w:r>
      <w:r w:rsidR="00F810D6" w:rsidRPr="00F810D6">
        <w:rPr>
          <w:i/>
        </w:rPr>
        <w:t xml:space="preserve"> </w:t>
      </w:r>
    </w:p>
    <w:p w14:paraId="75A49A14" w14:textId="7D4A0E3B" w:rsidR="008115A5" w:rsidRDefault="008115A5" w:rsidP="009A25BE">
      <w:r>
        <w:t>The individual components are commented in the subsections below.</w:t>
      </w:r>
    </w:p>
    <w:p w14:paraId="38E04A3D" w14:textId="150AD55E" w:rsidR="009A25BE" w:rsidRDefault="00E4221A" w:rsidP="008115A5">
      <w:pPr>
        <w:pStyle w:val="Heading2"/>
      </w:pPr>
      <w:r>
        <w:t>Morphological and lexical processing</w:t>
      </w:r>
    </w:p>
    <w:p w14:paraId="5BA82DB2" w14:textId="5136E2AC" w:rsidR="00E4221A" w:rsidRDefault="00E4221A" w:rsidP="00E4221A">
      <w:pPr>
        <w:pStyle w:val="Heading2"/>
      </w:pPr>
      <w:r>
        <w:t>Application of lexical selection</w:t>
      </w:r>
    </w:p>
    <w:p w14:paraId="41A2C783" w14:textId="475FB032" w:rsidR="00E4221A" w:rsidRDefault="00E4221A" w:rsidP="00E4221A">
      <w:pPr>
        <w:pStyle w:val="Heading2"/>
      </w:pPr>
      <w:r>
        <w:t>Reconstruction of movement</w:t>
      </w:r>
    </w:p>
    <w:p w14:paraId="3CF7509F" w14:textId="4729342B" w:rsidR="00E4221A" w:rsidRPr="00E4221A" w:rsidRDefault="00E4221A" w:rsidP="00E4221A">
      <w:pPr>
        <w:pStyle w:val="Heading2"/>
      </w:pPr>
      <w:r>
        <w:t>LF-legibility</w:t>
      </w:r>
    </w:p>
    <w:p w14:paraId="0D959338" w14:textId="694687C7" w:rsidR="007A51BB" w:rsidRDefault="007A51BB" w:rsidP="007A51BB">
      <w:pPr>
        <w:pStyle w:val="Heading1"/>
      </w:pPr>
      <w:r>
        <w:t>Computational implementation</w:t>
      </w:r>
      <w:bookmarkEnd w:id="50"/>
    </w:p>
    <w:p w14:paraId="51D3C8E4" w14:textId="03F866F0" w:rsidR="00BF11C0" w:rsidRDefault="00BF11C0" w:rsidP="00BF11C0">
      <w:pPr>
        <w:pStyle w:val="Heading2"/>
      </w:pPr>
      <w:r>
        <w:t>Coding conventions</w:t>
      </w:r>
    </w:p>
    <w:p w14:paraId="6B91C327" w14:textId="458D3E83" w:rsidR="00BF11C0" w:rsidRDefault="00BF11C0" w:rsidP="00BF11C0">
      <w:pPr>
        <w:pStyle w:val="Heading3"/>
        <w:rPr>
          <w:rStyle w:val="Emphasis"/>
        </w:rPr>
      </w:pPr>
      <w:r>
        <w:rPr>
          <w:rStyle w:val="Emphasis"/>
        </w:rPr>
        <w:t>Variable names</w:t>
      </w:r>
    </w:p>
    <w:p w14:paraId="78380E78" w14:textId="0808BA2A" w:rsidR="00BF11C0" w:rsidRDefault="00BF11C0" w:rsidP="00BF11C0">
      <w:r>
        <w:t>The following naming conventions were used.</w:t>
      </w:r>
    </w:p>
    <w:p w14:paraId="6CB093C2" w14:textId="77777777" w:rsidR="003D667D" w:rsidRDefault="00BF11C0" w:rsidP="00BF11C0">
      <w:proofErr w:type="spellStart"/>
      <w:r w:rsidRPr="00BF11C0">
        <w:rPr>
          <w:rFonts w:ascii="Courier New" w:hAnsi="Courier New" w:cs="Courier New"/>
        </w:rPr>
        <w:t>ps</w:t>
      </w:r>
      <w:proofErr w:type="spellEnd"/>
      <w:r>
        <w:t xml:space="preserve"> = phrase structure of any kind.</w:t>
      </w:r>
      <w:r w:rsidR="003D667D">
        <w:t xml:space="preserve"> </w:t>
      </w:r>
    </w:p>
    <w:p w14:paraId="186595DC" w14:textId="0783F73D" w:rsidR="00BF11C0" w:rsidRDefault="00BF11C0" w:rsidP="00BF11C0">
      <w:proofErr w:type="spellStart"/>
      <w:r w:rsidRPr="00BF11C0">
        <w:rPr>
          <w:rFonts w:ascii="Courier New" w:hAnsi="Courier New" w:cs="Courier New"/>
        </w:rPr>
        <w:t>ps_iterator</w:t>
      </w:r>
      <w:proofErr w:type="spellEnd"/>
      <w:r>
        <w:t xml:space="preserve"> = a pointer to a (typically) right edge of a phrase structure. Relevant elements are then sisters (heads and phrases).</w:t>
      </w:r>
    </w:p>
    <w:p w14:paraId="7F5EC8F5" w14:textId="530CA207" w:rsidR="00BF11C0" w:rsidRDefault="00BF11C0" w:rsidP="00BF11C0">
      <w:r w:rsidRPr="00BF11C0">
        <w:rPr>
          <w:rFonts w:ascii="Courier New" w:hAnsi="Courier New" w:cs="Courier New"/>
        </w:rPr>
        <w:lastRenderedPageBreak/>
        <w:t>h</w:t>
      </w:r>
      <w:r>
        <w:t xml:space="preserve"> = grammatical head or primitive constituent.</w:t>
      </w:r>
    </w:p>
    <w:p w14:paraId="6ADDC164" w14:textId="77777777" w:rsidR="00BF11C0" w:rsidRPr="00BF11C0" w:rsidRDefault="00BF11C0" w:rsidP="00BF11C0"/>
    <w:sectPr w:rsidR="00BF11C0" w:rsidRPr="00BF11C0"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636A3" w14:textId="77777777" w:rsidR="001940AE" w:rsidRDefault="001940AE" w:rsidP="00DB04CC">
      <w:r>
        <w:separator/>
      </w:r>
    </w:p>
  </w:endnote>
  <w:endnote w:type="continuationSeparator" w:id="0">
    <w:p w14:paraId="440EFFD3" w14:textId="77777777" w:rsidR="001940AE" w:rsidRDefault="001940AE"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B6E07" w14:textId="77777777" w:rsidR="001940AE" w:rsidRDefault="001940AE" w:rsidP="00DB04CC">
      <w:r>
        <w:separator/>
      </w:r>
    </w:p>
  </w:footnote>
  <w:footnote w:type="continuationSeparator" w:id="0">
    <w:p w14:paraId="65CD0384" w14:textId="77777777" w:rsidR="001940AE" w:rsidRDefault="001940AE" w:rsidP="00DB04CC">
      <w:r>
        <w:continuationSeparator/>
      </w:r>
    </w:p>
  </w:footnote>
  <w:footnote w:id="1">
    <w:p w14:paraId="3A7DD3E1" w14:textId="39D4D469" w:rsidR="00FE0797" w:rsidRPr="00E863BD" w:rsidRDefault="00FE0797">
      <w:pPr>
        <w:pStyle w:val="FootnoteText"/>
      </w:pPr>
      <w:r>
        <w:rPr>
          <w:rStyle w:val="FootnoteReference"/>
        </w:rPr>
        <w:footnoteRef/>
      </w:r>
      <w:r>
        <w:t xml:space="preserve"> Consider the tense node T in English. Finite T will have a specifier selection feature [!</w:t>
      </w:r>
      <w:r w:rsidRPr="00B24DD4">
        <w:rPr>
          <w:smallCaps/>
        </w:rPr>
        <w:t>spec:d</w:t>
      </w:r>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119"/>
    <w:rsid w:val="0000131B"/>
    <w:rsid w:val="00001612"/>
    <w:rsid w:val="00001782"/>
    <w:rsid w:val="000017C9"/>
    <w:rsid w:val="00001D7E"/>
    <w:rsid w:val="00001E39"/>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873"/>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A7C"/>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151"/>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2AF"/>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B84"/>
    <w:rsid w:val="00065EB8"/>
    <w:rsid w:val="00065EEB"/>
    <w:rsid w:val="00065FF8"/>
    <w:rsid w:val="00066166"/>
    <w:rsid w:val="0006634B"/>
    <w:rsid w:val="00066388"/>
    <w:rsid w:val="00066497"/>
    <w:rsid w:val="0006662A"/>
    <w:rsid w:val="000669AC"/>
    <w:rsid w:val="00066E1C"/>
    <w:rsid w:val="00067005"/>
    <w:rsid w:val="0006728F"/>
    <w:rsid w:val="00067417"/>
    <w:rsid w:val="00067711"/>
    <w:rsid w:val="00067750"/>
    <w:rsid w:val="00067818"/>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97F8A"/>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5EB8"/>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427"/>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585"/>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B45"/>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D14"/>
    <w:rsid w:val="000F5F05"/>
    <w:rsid w:val="000F5F12"/>
    <w:rsid w:val="000F6425"/>
    <w:rsid w:val="000F64FA"/>
    <w:rsid w:val="000F6565"/>
    <w:rsid w:val="000F68F7"/>
    <w:rsid w:val="000F6970"/>
    <w:rsid w:val="000F69AD"/>
    <w:rsid w:val="000F6DBB"/>
    <w:rsid w:val="000F6FCA"/>
    <w:rsid w:val="000F71A8"/>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535"/>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6CC"/>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9E3"/>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B51"/>
    <w:rsid w:val="00163D21"/>
    <w:rsid w:val="00163EEA"/>
    <w:rsid w:val="001640CF"/>
    <w:rsid w:val="0016435A"/>
    <w:rsid w:val="0016469C"/>
    <w:rsid w:val="0016483F"/>
    <w:rsid w:val="001649A0"/>
    <w:rsid w:val="001649A8"/>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0AE"/>
    <w:rsid w:val="001941D8"/>
    <w:rsid w:val="00194292"/>
    <w:rsid w:val="00194846"/>
    <w:rsid w:val="0019490F"/>
    <w:rsid w:val="00194E4D"/>
    <w:rsid w:val="00195022"/>
    <w:rsid w:val="0019506C"/>
    <w:rsid w:val="001956F0"/>
    <w:rsid w:val="00195890"/>
    <w:rsid w:val="0019593D"/>
    <w:rsid w:val="001959B2"/>
    <w:rsid w:val="00195B2E"/>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4A4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4EAF"/>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638"/>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AB2"/>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6AC"/>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957"/>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383"/>
    <w:rsid w:val="00261483"/>
    <w:rsid w:val="002615F2"/>
    <w:rsid w:val="00261626"/>
    <w:rsid w:val="00261697"/>
    <w:rsid w:val="00261BD6"/>
    <w:rsid w:val="002622BB"/>
    <w:rsid w:val="00262560"/>
    <w:rsid w:val="0026276D"/>
    <w:rsid w:val="0026285B"/>
    <w:rsid w:val="00262B27"/>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3EF4"/>
    <w:rsid w:val="00274339"/>
    <w:rsid w:val="002743E1"/>
    <w:rsid w:val="002746AD"/>
    <w:rsid w:val="002746CC"/>
    <w:rsid w:val="00274C37"/>
    <w:rsid w:val="00274CB1"/>
    <w:rsid w:val="00274FD1"/>
    <w:rsid w:val="00275228"/>
    <w:rsid w:val="002754E6"/>
    <w:rsid w:val="00275953"/>
    <w:rsid w:val="00275CF9"/>
    <w:rsid w:val="00275FEB"/>
    <w:rsid w:val="00276058"/>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1E7"/>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454"/>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716"/>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791"/>
    <w:rsid w:val="002B0D84"/>
    <w:rsid w:val="002B0EAB"/>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43"/>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6FE7"/>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08F"/>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314"/>
    <w:rsid w:val="00306620"/>
    <w:rsid w:val="00306667"/>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597D"/>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676"/>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777"/>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4E5"/>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EB5"/>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065"/>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2FF8"/>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67D"/>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36D"/>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0E"/>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BA1"/>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658"/>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456"/>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B1"/>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1F76"/>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18"/>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0E4"/>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B5D"/>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05B"/>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949"/>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5C61"/>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2FDA"/>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880"/>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6EC7"/>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6757"/>
    <w:rsid w:val="005D719F"/>
    <w:rsid w:val="005D71EF"/>
    <w:rsid w:val="005D73A4"/>
    <w:rsid w:val="005D73B8"/>
    <w:rsid w:val="005D7940"/>
    <w:rsid w:val="005D7A0B"/>
    <w:rsid w:val="005D7C71"/>
    <w:rsid w:val="005D7DFC"/>
    <w:rsid w:val="005D7E04"/>
    <w:rsid w:val="005E0291"/>
    <w:rsid w:val="005E02BF"/>
    <w:rsid w:val="005E0B5F"/>
    <w:rsid w:val="005E0C67"/>
    <w:rsid w:val="005E11F6"/>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A9C"/>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2E0"/>
    <w:rsid w:val="00641869"/>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D83"/>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44"/>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C01"/>
    <w:rsid w:val="00667D87"/>
    <w:rsid w:val="00667ECB"/>
    <w:rsid w:val="00667F9B"/>
    <w:rsid w:val="00670107"/>
    <w:rsid w:val="00670204"/>
    <w:rsid w:val="006703AC"/>
    <w:rsid w:val="006707DA"/>
    <w:rsid w:val="00670C97"/>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5EC"/>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AF8"/>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AEB"/>
    <w:rsid w:val="006C0CEA"/>
    <w:rsid w:val="006C0E00"/>
    <w:rsid w:val="006C1002"/>
    <w:rsid w:val="006C1896"/>
    <w:rsid w:val="006C19A5"/>
    <w:rsid w:val="006C1B19"/>
    <w:rsid w:val="006C21F8"/>
    <w:rsid w:val="006C22C2"/>
    <w:rsid w:val="006C2A4E"/>
    <w:rsid w:val="006C2AAA"/>
    <w:rsid w:val="006C2BDB"/>
    <w:rsid w:val="006C33EC"/>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170"/>
    <w:rsid w:val="006D1DA0"/>
    <w:rsid w:val="006D244C"/>
    <w:rsid w:val="006D2532"/>
    <w:rsid w:val="006D2AD9"/>
    <w:rsid w:val="006D2E42"/>
    <w:rsid w:val="006D2E78"/>
    <w:rsid w:val="006D2EDA"/>
    <w:rsid w:val="006D3EB5"/>
    <w:rsid w:val="006D40A3"/>
    <w:rsid w:val="006D48B2"/>
    <w:rsid w:val="006D4C85"/>
    <w:rsid w:val="006D4D5C"/>
    <w:rsid w:val="006D4EF7"/>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E38"/>
    <w:rsid w:val="00710F04"/>
    <w:rsid w:val="00710FBB"/>
    <w:rsid w:val="007116D8"/>
    <w:rsid w:val="00711726"/>
    <w:rsid w:val="00711E92"/>
    <w:rsid w:val="00711E98"/>
    <w:rsid w:val="00711F85"/>
    <w:rsid w:val="007122EB"/>
    <w:rsid w:val="007124BF"/>
    <w:rsid w:val="00712638"/>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2BF"/>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2EF9"/>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53A"/>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6D0"/>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AAD"/>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A0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1BB"/>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BDF"/>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5A5"/>
    <w:rsid w:val="008117B3"/>
    <w:rsid w:val="00811A5D"/>
    <w:rsid w:val="00811A67"/>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9E5"/>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C9D"/>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18F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2A8"/>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4DF"/>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7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6CE5"/>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0EAC"/>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9AE"/>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54B"/>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D4"/>
    <w:rsid w:val="00936EFF"/>
    <w:rsid w:val="0093718A"/>
    <w:rsid w:val="009372F3"/>
    <w:rsid w:val="009374DB"/>
    <w:rsid w:val="009374DF"/>
    <w:rsid w:val="0093774A"/>
    <w:rsid w:val="00937755"/>
    <w:rsid w:val="00937B9D"/>
    <w:rsid w:val="00937D06"/>
    <w:rsid w:val="009404CA"/>
    <w:rsid w:val="00940521"/>
    <w:rsid w:val="00940556"/>
    <w:rsid w:val="009407C1"/>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698"/>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5BE"/>
    <w:rsid w:val="009A2C14"/>
    <w:rsid w:val="009A2D41"/>
    <w:rsid w:val="009A300E"/>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AAB"/>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3F18"/>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18"/>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62C"/>
    <w:rsid w:val="00A50907"/>
    <w:rsid w:val="00A50C43"/>
    <w:rsid w:val="00A516DC"/>
    <w:rsid w:val="00A517FA"/>
    <w:rsid w:val="00A51CE0"/>
    <w:rsid w:val="00A51D26"/>
    <w:rsid w:val="00A51E33"/>
    <w:rsid w:val="00A51E40"/>
    <w:rsid w:val="00A51F8F"/>
    <w:rsid w:val="00A52271"/>
    <w:rsid w:val="00A52677"/>
    <w:rsid w:val="00A52AB5"/>
    <w:rsid w:val="00A52AF1"/>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048"/>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15F"/>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74"/>
    <w:rsid w:val="00AC0182"/>
    <w:rsid w:val="00AC018D"/>
    <w:rsid w:val="00AC019A"/>
    <w:rsid w:val="00AC05EE"/>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033"/>
    <w:rsid w:val="00B015DE"/>
    <w:rsid w:val="00B01626"/>
    <w:rsid w:val="00B01678"/>
    <w:rsid w:val="00B020AA"/>
    <w:rsid w:val="00B0231A"/>
    <w:rsid w:val="00B02A4A"/>
    <w:rsid w:val="00B02FDF"/>
    <w:rsid w:val="00B03611"/>
    <w:rsid w:val="00B0362B"/>
    <w:rsid w:val="00B039DC"/>
    <w:rsid w:val="00B04344"/>
    <w:rsid w:val="00B043EB"/>
    <w:rsid w:val="00B0463A"/>
    <w:rsid w:val="00B046DC"/>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062"/>
    <w:rsid w:val="00B240B6"/>
    <w:rsid w:val="00B24D58"/>
    <w:rsid w:val="00B24DD4"/>
    <w:rsid w:val="00B25419"/>
    <w:rsid w:val="00B2592D"/>
    <w:rsid w:val="00B26474"/>
    <w:rsid w:val="00B26A5D"/>
    <w:rsid w:val="00B26E04"/>
    <w:rsid w:val="00B26E1B"/>
    <w:rsid w:val="00B270C5"/>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57A"/>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14E"/>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3800"/>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A60"/>
    <w:rsid w:val="00B96B9B"/>
    <w:rsid w:val="00B96D23"/>
    <w:rsid w:val="00B97050"/>
    <w:rsid w:val="00B9708D"/>
    <w:rsid w:val="00B97205"/>
    <w:rsid w:val="00B9750D"/>
    <w:rsid w:val="00B975D2"/>
    <w:rsid w:val="00B97A43"/>
    <w:rsid w:val="00BA0438"/>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14A"/>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1F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1C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853"/>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2F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2F4C"/>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5E1"/>
    <w:rsid w:val="00C637D1"/>
    <w:rsid w:val="00C638E5"/>
    <w:rsid w:val="00C639E3"/>
    <w:rsid w:val="00C63AB9"/>
    <w:rsid w:val="00C63D42"/>
    <w:rsid w:val="00C63EBD"/>
    <w:rsid w:val="00C63FD2"/>
    <w:rsid w:val="00C63FD5"/>
    <w:rsid w:val="00C640A8"/>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9F0"/>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56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5CC"/>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96"/>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21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43A"/>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AC2"/>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36B"/>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BF7"/>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4"/>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0F79"/>
    <w:rsid w:val="00E415CA"/>
    <w:rsid w:val="00E41720"/>
    <w:rsid w:val="00E41945"/>
    <w:rsid w:val="00E41A26"/>
    <w:rsid w:val="00E41A48"/>
    <w:rsid w:val="00E41C7B"/>
    <w:rsid w:val="00E4221A"/>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5AB7"/>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854"/>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0D5"/>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4C5B"/>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006"/>
    <w:rsid w:val="00EB6842"/>
    <w:rsid w:val="00EB695B"/>
    <w:rsid w:val="00EB69C7"/>
    <w:rsid w:val="00EB7255"/>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1F37"/>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6B1"/>
    <w:rsid w:val="00EF69EA"/>
    <w:rsid w:val="00EF6A05"/>
    <w:rsid w:val="00EF7396"/>
    <w:rsid w:val="00EF7758"/>
    <w:rsid w:val="00EF795A"/>
    <w:rsid w:val="00EF7DF7"/>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4DC"/>
    <w:rsid w:val="00F237B9"/>
    <w:rsid w:val="00F23942"/>
    <w:rsid w:val="00F23AB3"/>
    <w:rsid w:val="00F23CB9"/>
    <w:rsid w:val="00F245AA"/>
    <w:rsid w:val="00F249F2"/>
    <w:rsid w:val="00F24BA2"/>
    <w:rsid w:val="00F24D26"/>
    <w:rsid w:val="00F24FFE"/>
    <w:rsid w:val="00F25145"/>
    <w:rsid w:val="00F25284"/>
    <w:rsid w:val="00F252CC"/>
    <w:rsid w:val="00F255EF"/>
    <w:rsid w:val="00F2566A"/>
    <w:rsid w:val="00F2577A"/>
    <w:rsid w:val="00F2578B"/>
    <w:rsid w:val="00F25C6C"/>
    <w:rsid w:val="00F25CA8"/>
    <w:rsid w:val="00F260A6"/>
    <w:rsid w:val="00F2717B"/>
    <w:rsid w:val="00F27907"/>
    <w:rsid w:val="00F27DC7"/>
    <w:rsid w:val="00F3044D"/>
    <w:rsid w:val="00F305BF"/>
    <w:rsid w:val="00F307A9"/>
    <w:rsid w:val="00F308F1"/>
    <w:rsid w:val="00F30C10"/>
    <w:rsid w:val="00F30C75"/>
    <w:rsid w:val="00F311DC"/>
    <w:rsid w:val="00F31BDE"/>
    <w:rsid w:val="00F31CC5"/>
    <w:rsid w:val="00F31FB9"/>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6B8"/>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66B"/>
    <w:rsid w:val="00F52A05"/>
    <w:rsid w:val="00F52A14"/>
    <w:rsid w:val="00F52C68"/>
    <w:rsid w:val="00F52E10"/>
    <w:rsid w:val="00F52F89"/>
    <w:rsid w:val="00F531DF"/>
    <w:rsid w:val="00F533AF"/>
    <w:rsid w:val="00F53789"/>
    <w:rsid w:val="00F53845"/>
    <w:rsid w:val="00F53A5A"/>
    <w:rsid w:val="00F53BDD"/>
    <w:rsid w:val="00F5424D"/>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15E"/>
    <w:rsid w:val="00F63330"/>
    <w:rsid w:val="00F63586"/>
    <w:rsid w:val="00F63592"/>
    <w:rsid w:val="00F63788"/>
    <w:rsid w:val="00F6384F"/>
    <w:rsid w:val="00F641AF"/>
    <w:rsid w:val="00F6451C"/>
    <w:rsid w:val="00F64706"/>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031"/>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0D6"/>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1BD"/>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2E7"/>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189"/>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6A"/>
    <w:rsid w:val="00FC7A89"/>
    <w:rsid w:val="00FC7E92"/>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797"/>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 w:type="character" w:styleId="Emphasis">
    <w:name w:val="Emphasis"/>
    <w:basedOn w:val="DefaultParagraphFont"/>
    <w:uiPriority w:val="20"/>
    <w:qFormat/>
    <w:rsid w:val="00BF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70301D-8BEF-407F-A06A-25C8513C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45979</TotalTime>
  <Pages>21</Pages>
  <Words>7798</Words>
  <Characters>63166</Characters>
  <Application>Microsoft Office Word</Application>
  <DocSecurity>0</DocSecurity>
  <Lines>526</Lines>
  <Paragraphs>141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8958</cp:revision>
  <cp:lastPrinted>2018-12-06T11:14:00Z</cp:lastPrinted>
  <dcterms:created xsi:type="dcterms:W3CDTF">2018-07-18T07:30:00Z</dcterms:created>
  <dcterms:modified xsi:type="dcterms:W3CDTF">2019-05-20T13:48:00Z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