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F4E79"/>
          <w:sz w:val="48"/>
          <w:szCs w:val="48"/>
        </w:rPr>
        <w:t xml:space="preserve">수페스타</w:t>
      </w:r>
    </w:p>
    <w:p>
      <w:pPr>
        <w:spacing w:after="600"/>
        <w:jc w:val="center"/>
      </w:pPr>
      <w:r>
        <w:rPr>
          <w:rFonts w:ascii="Apple SD Gothic Neo" w:cs="Apple SD Gothic Neo" w:eastAsia="Apple SD Gothic Neo" w:hAnsi="Apple SD Gothic Neo"/>
          <w:color w:val="1A1A1A"/>
          <w:sz w:val="24"/>
          <w:szCs w:val="24"/>
        </w:rPr>
        <w:t xml:space="preserve">KAC 지식과 실행 Skill로 ESG 질문을
검증 가능한 다음 행동으로 바꾸는 로컬 AI 챗봇
2026 ESG × AI 챌린지 해커톤 예선 기획서</w:t>
      </w:r>
    </w:p>
    <w:p>
      <w:pPr>
        <w:spacing w:after="80"/>
        <w:jc w:val="center"/>
      </w:pPr>
      <w:r>
        <w:rPr>
          <w:rFonts w:ascii="Apple SD Gothic Neo" w:cs="Apple SD Gothic Neo" w:eastAsia="Apple SD Gothic Neo" w:hAnsi="Apple SD Gothic Neo"/>
          <w:color w:val="1A1A1A"/>
          <w:sz w:val="22"/>
          <w:szCs w:val="22"/>
        </w:rPr>
        <w:t xml:space="preserve">작성자: 팀 초 ROK · 박상훈</w:t>
      </w:r>
    </w:p>
    <w:p>
      <w:pPr>
        <w:jc w:val="center"/>
      </w:pPr>
      <w:r>
        <w:rPr>
          <w:rFonts w:ascii="Apple SD Gothic Neo" w:cs="Apple SD Gothic Neo" w:eastAsia="Apple SD Gothic Neo" w:hAnsi="Apple SD Gothic Neo"/>
          <w:color w:val="1A1A1A"/>
          <w:sz w:val="22"/>
          <w:szCs w:val="22"/>
        </w:rPr>
        <w:t xml:space="preserve">2026.08.25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</w:pPr>
      <w:r>
        <w:t xml:space="preserve">1. 제안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AF1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 xml:space="preserve">한 문장 정의</w:t>
            </w:r>
          </w:p>
          <w:p>
            <w:pPr>
              <w:spacing w:after="0" w:line="288"/>
              <w:jc w:val="center"/>
            </w:pPr>
            <w:r>
              <w:rPr>
                <w:b/>
                <w:bCs/>
              </w:rPr>
              <w:t xml:space="preserve">수페스타는 질문에 필요한 지식행동사슬을 선택하고 연결된 Skill을 실제로 실행한 뒤, 로컬 AI가 검증 결과만 자연어로 설명하는 스킬 실행형 ESG 챗봇이다.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6976"/>
      </w:tblGrid>
      <w:tr>
        <w:trPr>
          <w:tblHeader/>
        </w:trP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해결 문제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ESG 정보는 많지만 사용자는 자신의 상황에 필요한 기준, 확인 순서와 다음 행동을 알기 어렵다.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주요 사용자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ESG 입문자, 기업 ESG 담당자, 산주·산림탄소 사업자, 탄소크레딧 구매 검토자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제품 형태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PC·모바일에서 사용하는 브라우저형 대화 MVP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핵심 경험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질문 → 상황 구조화 → KAC 선택 → Skill 실행 → 쉬운 답변 → 필요한 다음 행동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AI 역할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검증된 Skill 결과를 자연스럽게 설명하며 경로·판정·근거를 변경하지 않는다.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행동 연결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구매처·구매 방법을 명시적으로 물은 경우에만 산림탄소마켓을 선택지로 안내한다.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안전 경계</w:t>
            </w:r>
          </w:p>
        </w:tc>
        <w:tc>
          <w:tcPr>
            <w:tcW w:type="dxa" w:w="69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실제 거래·결제·등록부 변경·법률·세무·인증·공시 최종판단은 수행하지 않는다.</w:t>
            </w:r>
          </w:p>
        </w:tc>
      </w:tr>
    </w:tbl>
    <w:p>
      <w:pPr>
        <w:pStyle w:val="Heading1"/>
        <w:pBdr>
          <w:bottom w:val="single" w:color="1F4E79" w:sz="8" w:space="4"/>
        </w:pBdr>
      </w:pPr>
      <w:r>
        <w:t xml:space="preserve">2. 해결하려는 문제와 수혜자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ESG, SDGs, Scope 1·2·3, CCM·VCM, 배출권·탄소크레딧, 산림탄소 사업과 등록부는 서로 연결되어 있지만 기관·기준·절차별로 흩어져 있다. 사용자는 용어의 정의를 찾아도 자신의 상황에서 무엇을 확인하고 다음에 무엇을 해야 하는지 결정하기 어렵다.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회사 소유 보일러의 도시가스 사용은 조직경계·소유통제·활동자료를 함께 봐야 Scope 후보를 낼 수 있다. 나무를 심는 활동도 토지 권리, 사업유형, 방법론, 모니터링·검증·인증을 확인하기 전에는 감축 실적으로 단정할 수 없다.</w:t>
      </w:r>
    </w:p>
    <w:p>
      <w:pPr>
        <w:pStyle w:val="Heading2"/>
      </w:pPr>
      <w:r>
        <w:t xml:space="preserve">2.1 일반 자유대화 모델만으로 부족한 이유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사용자가 말하지 않은 사실을 추정해 그럴듯한 결론을 만들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지식 설명과 실제 판단·절차가 한 문장 안에서 섞일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근거가 부족하거나 서로 충돌해도 답을 확정할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어떤 지식과 규칙을 사용했는지 사람이 재검증하기 어렵다.</w:t>
      </w:r>
    </w:p>
    <w:p>
      <w:pPr>
        <w:pStyle w:val="Heading1"/>
        <w:pBdr>
          <w:bottom w:val="single" w:color="1F4E79" w:sz="8" w:space="4"/>
        </w:pBdr>
      </w:pPr>
      <w:r>
        <w:t xml:space="preserve">3. 정확히 무엇을 만드는가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최종 MVP는 수페스타 캐릭터가 안내하는 브라우저형 ESG 대화 서비스다. 일반 ESG 질문에는 해당 개념만 답하고, 산림탄소마켓은 사용자가 크레딧 구매처나 구매 방법을 명시적으로 요청한 경우에만 표시한다.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사용자가 보는 것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자연스러운 결론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질문에 직접 답한다.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쉬운 설명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현재 질문과 관련된 개념만 풀어준다.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확인 이유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왜 해당 조건과 순서가 필요한지 설명한다.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지금 할 일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사용자가 준비하거나 확인할 일을 번호로 안내한다.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다음 질문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입력이 부족하거나 충돌하면 필요한 사실을 묻는다.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8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기술 증거</w:t>
            </w:r>
          </w:p>
        </w:tc>
        <w:tc>
          <w:tcPr>
            <w:tcW w:type="dxa" w:w="5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원할 때 KAC·Skill·근거·산출물·Run Record를 펼쳐본다.</w:t>
            </w:r>
          </w:p>
        </w:tc>
      </w:tr>
    </w:tbl>
    <w:p>
      <w:pPr>
        <w:pStyle w:val="Heading1"/>
        <w:pBdr>
          <w:bottom w:val="single" w:color="1F4E79" w:sz="8" w:space="4"/>
        </w:pBdr>
      </w:pPr>
      <w:r>
        <w:t xml:space="preserve">4. 왜 지식행동사슬인가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ESG에서는 같은 단어도 질문자의 주체·목적·대상·현재 상태에 따라 필요한 지식과 행동이 달라진다. KAC는 지식을 Identity → Goal → Task → Knowledge → Method → Skill로 연결해 설명이 실행 규칙으로 이어지게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수페스타에서의 의미</w:t>
            </w:r>
          </w:p>
        </w:tc>
      </w:tr>
      <w:t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Identity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질문에서 다루는 ESG 개념·대상·역할을 식별한다.</w:t>
            </w:r>
          </w:p>
        </w:tc>
      </w:tr>
      <w:t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사용자가 도달해야 할 올바른 상태를 정의한다.</w:t>
            </w:r>
          </w:p>
        </w:tc>
      </w:tr>
      <w:t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목표를 위해 수행해야 할 확인·분류·비교 작업을 나눈다.</w:t>
            </w:r>
          </w:p>
        </w:tc>
      </w:tr>
      <w:t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Knowledge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공식 기준·관계·제약과 원문 근거를 연결한다.</w:t>
            </w:r>
          </w:p>
        </w:tc>
      </w:tr>
      <w:t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Method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누락·충돌·선행조건을 검사하는 방법을 고정한다.</w:t>
            </w:r>
          </w:p>
        </w:tc>
      </w:tr>
      <w:tr>
        <w:tc>
          <w:tcPr>
            <w:tcW w:type="dxa" w:w="1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Skill</w:t>
            </w:r>
          </w:p>
        </w:tc>
        <w:tc>
          <w:tcPr>
            <w:tcW w:type="dxa" w:w="71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구조화 입력을 받아 판정과 산출물을 실제로 생성한다.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AF1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 xml:space="preserve">구조화·묶음·배포의 이유</w:t>
            </w:r>
          </w:p>
          <w:p>
            <w:pPr>
              <w:spacing w:after="80" w:line="288"/>
              <w:jc w:val="center"/>
            </w:pPr>
            <w:r>
              <w:rPr>
                <w:b/>
                <w:bCs/>
              </w:rPr>
              <w:t xml:space="preserve">구조화: 같은 기준을 질문마다 흔들리지 않게 재사용한다.</w:t>
            </w:r>
          </w:p>
          <w:p>
            <w:pPr>
              <w:spacing w:after="80" w:line="288"/>
              <w:jc w:val="center"/>
            </w:pPr>
            <w:r>
              <w:rPr>
                <w:b/>
                <w:bCs/>
              </w:rPr>
              <w:t xml:space="preserve">Skill로 묶기: 지식 설명을 확인·판단·산출물 생성으로 바꾼다.</w:t>
            </w:r>
          </w:p>
          <w:p>
            <w:pPr>
              <w:spacing w:after="0" w:line="288"/>
              <w:jc w:val="center"/>
            </w:pPr>
            <w:r>
              <w:rPr>
                <w:b/>
                <w:bCs/>
              </w:rPr>
              <w:t xml:space="preserve">배포: 검증된 행동 체인을 실제 서비스에서 반복 실행하고 실행기록을 남긴다.</w:t>
            </w:r>
          </w:p>
        </w:tc>
      </w:tr>
    </w:tbl>
    <w:p>
      <w:pPr>
        <w:pStyle w:val="Heading1"/>
        <w:pBdr>
          <w:bottom w:val="single" w:color="1F4E79" w:sz="8" w:space="4"/>
        </w:pBdr>
      </w:pPr>
      <w:r>
        <w:t xml:space="preserve">5. 실제 동작 구조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사용자 진술만 구조화 입력으로 변환하고 누락·충돌을 검사한다.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Runtime Composite 단일 진입점에서 질문 라우터를 정확히 한 번 실행한다.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관련 Identity의 Goal·Task·Knowledge·Method·Skill 파일을 선택하고 SHA-256을 확인한다.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필요한 도메인 Run Skill을 최대 한 번 실행해 PROCEED·REVIEW·STOP과 산출물을 만든다.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로컬 AI가 검증된 결과만 자연스러운 한국어로 표현한다.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 Risk Gate가 판정·주장·권한·외부링크를 재검사한다.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Context·KAC·Skill·산출물·해시를 Run Record로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AF1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 xml:space="preserve">정확한 기술 경계</w:t>
            </w:r>
          </w:p>
          <w:p>
            <w:pPr>
              <w:spacing w:after="80" w:line="288"/>
              <w:jc w:val="center"/>
            </w:pPr>
            <w:r>
              <w:rPr>
                <w:b/>
                <w:bCs/>
              </w:rPr>
              <w:t xml:space="preserve">수페스타는 KAC 지식을 근거로 사용하고 KAC에서 구조화·배포한 Skill을 실행 규칙으로 사용한다.</w:t>
            </w:r>
          </w:p>
          <w:p>
            <w:pPr>
              <w:spacing w:after="0" w:line="288"/>
              <w:jc w:val="center"/>
            </w:pPr>
            <w:r>
              <w:rPr>
                <w:b/>
                <w:bCs/>
              </w:rPr>
              <w:t xml:space="preserve">웹 UI·서버·Context 추출·실행 어댑터·출력 게이트는 Skill을 서비스하는 별도 Runtime 코드다.</w:t>
            </w:r>
          </w:p>
        </w:tc>
      </w:tr>
    </w:tbl>
    <w:p>
      <w:pPr>
        <w:pStyle w:val="Heading1"/>
        <w:pBdr>
          <w:bottom w:val="single" w:color="1F4E79" w:sz="8" w:space="4"/>
        </w:pBdr>
      </w:pPr>
      <w:r>
        <w:t xml:space="preserve">6. 구현된 질문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경로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실제 동작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개념 설명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ESG·SDGs·KAC·기관·등록부 등 질문과 직접 관련된 KAC만 선택한다.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ESG 탄소 행동경로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측정 → 직접감축 → 잔여배출 → 보완 순서를 안내하고 건너뛰기 요청을 차단한다.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Scope 분류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활동·조직경계·소유통제·구매에너지·가치사슬 관계를 구조화해 후보를 낸다.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CCM·VCM 비교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배출권·크레딧·등록·이전·소각·사용 목적을 구분한다.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산림 E/S/G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환경성과와 권리·지역사회·거버넌스 증거의 공백을 함께 표시한다.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산림탄소 절차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사업유형과 현재 단계 증빙을 확인해 다음 절차를 안내한다.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거래 준비도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G1~G11 증거 상태를 점검하되 실제 거래 효력은 확정하지 않는다.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입력 보완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필요한 사실이 없거나 여러 활동이 충돌하면 REVIEW와 보완 질문을 제시한다.</w:t>
            </w:r>
          </w:p>
        </w:tc>
      </w:tr>
      <w:tr>
        <w:tc>
          <w:tcPr>
            <w:tcW w:type="dxa" w:w="24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범위 밖·고위험</w:t>
            </w:r>
          </w:p>
        </w:tc>
        <w:tc>
          <w:tcPr>
            <w:tcW w:type="dxa" w:w="66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실시간 가격·투자추천·무근거 계산·우회·가짜 증거·외부 실행은 STOP한다.</w:t>
            </w:r>
          </w:p>
        </w:tc>
      </w:tr>
    </w:tbl>
    <w:p>
      <w:pPr>
        <w:pStyle w:val="Heading1"/>
        <w:pBdr>
          <w:bottom w:val="single" w:color="1F4E79" w:sz="8" w:space="4"/>
        </w:pBdr>
      </w:pPr>
      <w:r>
        <w:t xml:space="preserve">7. 대표 시연</w:t>
      </w:r>
    </w:p>
    <w:p>
      <w:pPr>
        <w:pStyle w:val="Heading2"/>
      </w:pPr>
      <w:r>
        <w:t xml:space="preserve">7.1 일반 ESG 질문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“ESG가 무엇인가요?”에는 E·S·G 의미와 활용 맥락만 답한다. 산림탄소마켓 링크를 노출하지 않아 질문과 무관한 홍보성 응답을 방지한다.</w:t>
      </w:r>
    </w:p>
    <w:p>
      <w:pPr>
        <w:pStyle w:val="Heading2"/>
      </w:pPr>
      <w:r>
        <w:t xml:space="preserve">7.2 구체적인 Scope 질문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회사 소유·운영 보일러, 도시가스 1,250 Nm³, 2026년 8월, 고지서를 말하면 소유통제·활동·수량·단위·기간·증거를 타입 필드로 만들고 SCOPE_CLASSIFICATION / PROCEED / SCOPE_1을 반환한다.</w:t>
      </w:r>
    </w:p>
    <w:p>
      <w:pPr>
        <w:pStyle w:val="Heading2"/>
      </w:pPr>
      <w:r>
        <w:t xml:space="preserve">7.3 상충 입력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회사 소유 보일러와 구매전력을 한 질문에 섞으면 하나의 Scope를 임의 선택하지 않는다. REVIEW로 멈추고 두 활동 중 하나를 먼저 선택해 달라는 후속 질문을 표시하며 로컬 AI 자유 생성을 차단한다.</w:t>
      </w:r>
    </w:p>
    <w:p>
      <w:pPr>
        <w:pStyle w:val="Heading2"/>
      </w:pPr>
      <w:r>
        <w:t xml:space="preserve">7.4 명시적 구매처 질문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“탄소크레딧은 어디에서 구매할 수 있나요?”처럼 구매처를 직접 물은 경우에만 산림탄소마켓을 외부 행동 선택지로 제시한다. 최신 가격·재고·거래조건은 마켓에서 직접 확인하도록 안내한다.</w:t>
      </w:r>
    </w:p>
    <w:p>
      <w:pPr>
        <w:pStyle w:val="Heading1"/>
        <w:pBdr>
          <w:bottom w:val="single" w:color="1F4E79" w:sz="8" w:space="4"/>
        </w:pBdr>
      </w:pPr>
      <w:r>
        <w:t xml:space="preserve">8. AI·데이터 역할과 책임성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650"/>
        <w:gridCol w:w="3326"/>
      </w:tblGrid>
      <w:tr>
        <w:trPr>
          <w:tblHeader/>
        </w:trP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계층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책임 경계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ContextRuntime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 진술을 타입 필드로 변환하고 출처·규칙·신뢰도를 기록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이전 AI 답변을 사실로 재사용하지 않음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KnowledgeRuntime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85개 Identity·Concept Skill 중 관련 KAC 파일 선택·해시 확인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질문과 무관한 지식 제외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Runtime Composite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라우터와 6개 도메인 Run Skill을 단일 진입점에서 실행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도메인 Skill 최대 1회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로컬 AI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검증 결과를 이해하기 쉬운 문장으로 표현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경로·후보·판정·근거 변경 금지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Output Risk Gate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후보 불일치, 공식성·법률·거래 확정, 외부링크 검사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위험하면 모델 문장 폐기</w:t>
            </w:r>
          </w:p>
        </w:tc>
      </w:tr>
      <w:tr>
        <w:tc>
          <w:tcPr>
            <w:tcW w:type="dxa" w:w="20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Run Record</w:t>
            </w:r>
          </w:p>
        </w:tc>
        <w:tc>
          <w:tcPr>
            <w:tcW w:type="dxa" w:w="36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입력·Context·KAC·Skill·산출물·해시 저장</w:t>
            </w:r>
          </w:p>
        </w:tc>
        <w:tc>
          <w:tcPr>
            <w:tcW w:type="dxa" w:w="33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사람의 재현·검토 지원</w:t>
            </w:r>
          </w:p>
        </w:tc>
      </w:tr>
    </w:tbl>
    <w:p>
      <w:pPr>
        <w:spacing w:after="120" w:line="276"/>
        <w:jc w:val="left"/>
      </w:pPr>
      <w:r>
        <w:rPr>
          <w:b w:val="false"/>
          <w:bCs w:val="false"/>
        </w:rPr>
        <w:t xml:space="preserve">모델은 분류기나 최종 판단자가 아니다. REVIEW/STOP과 거래 준비도 경로에서는 모델 생성을 차단한다. 로컬 모델을 사용할 수 없는 환경에서도 같은 KAC·Skill 실행은 유지되고 구조화 근거 답변으로 전환된다.</w:t>
      </w:r>
    </w:p>
    <w:p>
      <w:pPr>
        <w:pStyle w:val="Heading1"/>
        <w:pBdr>
          <w:bottom w:val="single" w:color="1F4E79" w:sz="8" w:space="4"/>
        </w:pBdr>
      </w:pPr>
      <w:r>
        <w:t xml:space="preserve">9. 현재 MVP 검증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검증 항목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최신 결과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단위·통합 테스트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23건 PASS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결정론적 질문 시나리오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60건 PASS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로컬 AI 근거 답변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8건 PASS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지원 라우트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9개 전부 커버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판정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PROCEED·REVIEW·STOP 전부 커버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입력 바이트 보존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60건 전부 확인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Context·KAC·Output Gate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60건 전부 기록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마켓 링크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명시적 구매처 질문 1건에서만 노출</w:t>
            </w:r>
          </w:p>
        </w:tc>
      </w:tr>
      <w:tr>
        <w:tc>
          <w:tcPr>
            <w:tcW w:type="dxa" w:w="33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외부 인터넷 없는 실행</w:t>
            </w:r>
          </w:p>
        </w:tc>
        <w:tc>
          <w:tcPr>
            <w:tcW w:type="dxa" w:w="57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로컬 파일·Runtime Composite·로컬 Ollama 조건 Chrome PASS</w:t>
            </w:r>
          </w:p>
        </w:tc>
      </w:tr>
    </w:tbl>
    <w:p>
      <w:pPr>
        <w:spacing w:after="120" w:line="276"/>
        <w:jc w:val="left"/>
      </w:pPr>
      <w:r>
        <w:rPr>
          <w:b w:val="false"/>
          <w:bCs w:val="false"/>
        </w:rPr>
        <w:t xml:space="preserve">검증 범위에는 Scope 1·2·3 세부 활동, 부정문, 활동 혼합, 이전 대화 오염, 등록·절차 상태 충돌, E/S/G 증거 누락, 거래 G1~G11, 실시간 가격·투자추천·배출계수 없는 계산, 프롬프트 우회와 가짜 증거 요청이 포함된다.</w:t>
      </w:r>
    </w:p>
    <w:p>
      <w:pPr>
        <w:pStyle w:val="Heading1"/>
        <w:pBdr>
          <w:bottom w:val="single" w:color="1F4E79" w:sz="8" w:space="4"/>
        </w:pBdr>
      </w:pPr>
      <w:r>
        <w:t xml:space="preserve">10. ESG 임팩트와 측정계획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426"/>
      </w:tblGrid>
      <w:tr>
        <w:trPr>
          <w:tblHeader/>
        </w:trP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축</w:t>
            </w:r>
          </w:p>
        </w:tc>
        <w:tc>
          <w:tcPr>
            <w:tcW w:type="dxa" w:w="47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기대효과</w:t>
            </w:r>
          </w:p>
        </w:tc>
        <w:tc>
          <w:tcPr>
            <w:tcW w:type="dxa" w:w="34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본선 전 측정지표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47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측정과 직접감축을 우선하고 산림탄소 절차·증거를 올바른 순서로 안내</w:t>
            </w:r>
          </w:p>
        </w:tc>
        <w:tc>
          <w:tcPr>
            <w:tcW w:type="dxa" w:w="34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경로 선택률·행동순서 식별 시간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47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시민·기업·산주의 전문용어 장벽을 낮추고 권리·지역사회 참여를 함께 확인</w:t>
            </w:r>
          </w:p>
        </w:tc>
        <w:tc>
          <w:tcPr>
            <w:tcW w:type="dxa" w:w="34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첫 답변 이해도·보완 질문 완료율</w:t>
            </w:r>
          </w:p>
        </w:tc>
      </w:tr>
      <w:tr>
        <w:tc>
          <w:tcPr>
            <w:tcW w:type="dxa" w:w="9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470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근거·누락·판정 이유와 실행기록을 남기고 고위험 판단을 사람에게 반환</w:t>
            </w:r>
          </w:p>
        </w:tc>
        <w:tc>
          <w:tcPr>
            <w:tcW w:type="dxa" w:w="342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근거 연결률·REVIEW/STOP 재현율</w:t>
            </w:r>
          </w:p>
        </w:tc>
      </w:tr>
    </w:tbl>
    <w:p>
      <w:pPr>
        <w:spacing w:after="120" w:line="276"/>
        <w:jc w:val="left"/>
      </w:pPr>
      <w:r>
        <w:rPr>
          <w:b w:val="false"/>
          <w:bCs w:val="false"/>
        </w:rPr>
        <w:t xml:space="preserve">현재 수치는 기술 검증 결과와 본선 전 사용자 목표를 구분한다. 실제 감축량·거래액·사용자 행동변화는 아직 실증하지 않았으며 본선 전 사용자 테스트에서 별도로 측정한다.</w:t>
      </w:r>
    </w:p>
    <w:p>
      <w:pPr>
        <w:pStyle w:val="Heading1"/>
        <w:pBdr>
          <w:bottom w:val="single" w:color="1F4E79" w:sz="8" w:space="4"/>
        </w:pBdr>
      </w:pPr>
      <w:r>
        <w:t xml:space="preserve">11. 실현 가능성과 확장성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현재 MVP는 Python 서버, HTML·CSS·JavaScript UI, JSON·Markdown KAC 자료, 코드 기반 Runtime Composite, 로컬 Ollama, Docker 실행 자산으로 구성된다. 네트워크가 끊겨도 로컬 지식과 Skill 실행으로 핵심 답변이 유지된다.</w:t>
      </w:r>
    </w:p>
    <w:p>
      <w:pPr>
        <w:spacing w:after="120" w:line="276"/>
        <w:jc w:val="left"/>
      </w:pPr>
      <w:r>
        <w:rPr>
          <w:b w:val="false"/>
          <w:bCs w:val="false"/>
        </w:rPr>
        <w:t xml:space="preserve">동일한 실행 계약을 유지하면 에너지 절감, 자원순환, 공급망 Scope 3 등 다른 ESG 도메인에도 새로운 Identity·KAC·Run Skill을 추가할 수 있다. 다음 단계에서는 사용자 프로필, 공식 데이터 갱신 절차, 기관 검토 워크플로우, 영구 배포와 사용자 실증을 추가한다.</w:t>
      </w:r>
    </w:p>
    <w:p>
      <w:pPr>
        <w:pStyle w:val="Heading1"/>
        <w:pBdr>
          <w:bottom w:val="single" w:color="1F4E79" w:sz="8" w:space="4"/>
        </w:pBdr>
      </w:pPr>
      <w:r>
        <w:t xml:space="preserve">12. 한계와 남은 과제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문자열 규칙이 모든 자연어 표현을 완전히 이해한다고 주장하지 않는다. 새 표현은 fixture로 먼저 추가한다.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공개 자료와 기준일이 있는 지식을 사용하며 최신 법률·제도·시세를 자동 보증하지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tCO2e 계산에는 공식 배출계수와 활동자료 검증이 추가로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구매·결제·등록부 이전·소각·계약·세무·인증·공시 최종판단은 사람과 기관에 남긴다.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수페스타 캐릭터는 해커톤 검증용 비공식 MVP로 표시하며 사용 허용 범위를 별도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임시 터널 주소는 영구 서비스 URL로 주장하지 않는다.</w:t>
      </w:r>
    </w:p>
    <w:p>
      <w:pPr>
        <w:pStyle w:val="Heading1"/>
        <w:pBdr>
          <w:bottom w:val="single" w:color="1F4E79" w:sz="8" w:space="4"/>
        </w:pBdr>
      </w:pPr>
      <w:r>
        <w:t xml:space="preserve">13. 기술스택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76"/>
      </w:tblGrid>
      <w:tr>
        <w:trPr>
          <w:tblHeader/>
        </w:trP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shd w:fill="D9E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기술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Knowledge/Context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CCS, Knowledge-Action Chain, Identity → Goal → Task → Knowledge → Method → Skill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Execution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Concept Skill, 6개 도메인 Run Skill, Runtime Composite, PROCEED·REVIEW·STOP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Local AI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Ollama, qwen2.5:14b-instruct-q4_K_M, 검증 결과 한정 자연어 표현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Runtime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3, JSON·Markdown artifacts, SHA-256, Run Record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HTML5, CSS3, Vanilla JavaScript, Python ThreadingHTTPServer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Quality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unittest, 60개 결정론 fixture, 8개 로컬 AI fixture, Context conflict 검사, Output Risk Gate</w:t>
            </w:r>
          </w:p>
        </w:tc>
      </w:tr>
      <w:tr>
        <w:tc>
          <w:tcPr>
            <w:tcW w:type="dxa" w:w="2250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6776"/>
            <w:tcBorders>
              <w:top w:val="single" w:color="8FAAC4" w:sz="4"/>
              <w:left w:val="single" w:color="8FAAC4" w:sz="4"/>
              <w:bottom w:val="single" w:color="8FAAC4" w:sz="4"/>
              <w:right w:val="single" w:color="8FAA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runtime, Docker, 필요 시 검증된 공개 터널</w:t>
            </w:r>
          </w:p>
        </w:tc>
      </w:tr>
    </w:tbl>
    <w:p>
      <w:pPr>
        <w:pStyle w:val="Heading1"/>
        <w:pBdr>
          <w:bottom w:val="single" w:color="1F4E79" w:sz="8" w:space="4"/>
        </w:pBdr>
      </w:pPr>
      <w:r>
        <w:t xml:space="preserve">14. 근거 자료</w:t>
      </w:r>
    </w:p>
    <w:p>
      <w:pPr>
        <w:spacing w:after="60" w:before="80"/>
      </w:pPr>
      <w:r>
        <w:rPr>
          <w:b/>
          <w:bCs/>
          <w:color w:val="1F4E79"/>
        </w:rPr>
        <w:t xml:space="preserve">주요 근거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2026 ESG × AI 챌린지 해커톤 공식 공고</w:t>
      </w:r>
      <w:r>
        <w:t xml:space="preserve">  </w:t>
      </w:r>
      <w:hyperlink w:history="1" r:id="rIdangf4fftia8qodxn7s4ex">
        <w:r>
          <w:rPr>
            <w:color w:val="1F4E79"/>
            <w:u w:val="single"/>
          </w:rPr>
          <w:t xml:space="preserve">https://www.ui4u.go.kr/depart/industry/bbs/view.do?bIdx=365338&amp;mId=0403000000&amp;ptIdx=35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Knowledge-Action Chain</w:t>
      </w:r>
      <w:r>
        <w:t xml:space="preserve">  </w:t>
      </w:r>
      <w:hyperlink w:history="1" r:id="rIdmozmauq3ix9rmsmx5bxwu">
        <w:r>
          <w:rPr>
            <w:color w:val="1F4E79"/>
            <w:u w:val="single"/>
          </w:rPr>
          <w:t xml:space="preserve">https://github.com/sopia19910/Knowledge-Action-Chain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한국임업진흥원 산림탄소상쇄제도</w:t>
      </w:r>
      <w:r>
        <w:t xml:space="preserve">  </w:t>
      </w:r>
      <w:hyperlink w:history="1" r:id="rIdjtahlvmtlxkujszvbunzj">
        <w:r>
          <w:rPr>
            <w:color w:val="1F4E79"/>
            <w:u w:val="single"/>
          </w:rPr>
          <w:t xml:space="preserve">https://www.kofpi.or.kr/intro/bizGuide_04_02.do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산림탄소등록부</w:t>
      </w:r>
      <w:r>
        <w:t xml:space="preserve">  </w:t>
      </w:r>
      <w:hyperlink w:history="1" r:id="rIdw8aabmtz7m-1zwrb1u4xg">
        <w:r>
          <w:rPr>
            <w:color w:val="1F4E79"/>
            <w:u w:val="single"/>
          </w:rPr>
          <w:t xml:space="preserve">https://carbonregistry.forest.go.kr/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산림탄소마켓</w:t>
      </w:r>
      <w:r>
        <w:t xml:space="preserve">  </w:t>
      </w:r>
      <w:hyperlink w:history="1" r:id="rIdxwcrqipb38e54mcebawaj">
        <w:r>
          <w:rPr>
            <w:color w:val="1F4E79"/>
            <w:u w:val="single"/>
          </w:rPr>
          <w:t xml:space="preserve">https://forestcarbonmarket.kr/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GHG Protocol</w:t>
      </w:r>
      <w:r>
        <w:t xml:space="preserve">  </w:t>
      </w:r>
      <w:hyperlink w:history="1" r:id="rIdmjzh8d_sbumdbjqkmb8ft">
        <w:r>
          <w:rPr>
            <w:color w:val="1F4E79"/>
            <w:u w:val="single"/>
          </w:rPr>
          <w:t xml:space="preserve">https://ghgprotocol.org/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UN Sustainable Development Goals</w:t>
      </w:r>
      <w:r>
        <w:t xml:space="preserve">  </w:t>
      </w:r>
      <w:hyperlink w:history="1" r:id="rIdjjr9d0uu3w04g01rmnlmb">
        <w:r>
          <w:rPr>
            <w:color w:val="1F4E79"/>
            <w:u w:val="single"/>
          </w:rPr>
          <w:t xml:space="preserve">https://sdgs.un.org/goals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AF1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 xml:space="preserve">결론</w:t>
            </w:r>
          </w:p>
          <w:p>
            <w:pPr>
              <w:spacing w:after="80" w:line="288"/>
              <w:jc w:val="center"/>
            </w:pPr>
            <w:r>
              <w:rPr>
                <w:b/>
                <w:bCs/>
              </w:rPr>
              <w:t xml:space="preserve">수페스타가 보여주는 것은 AI가 그럴듯하게 말하는 화면이 아니다.</w:t>
            </w:r>
          </w:p>
          <w:p>
            <w:pPr>
              <w:spacing w:after="0" w:line="288"/>
              <w:jc w:val="center"/>
            </w:pPr>
            <w:r>
              <w:rPr>
                <w:b/>
                <w:bCs/>
              </w:rPr>
              <w:t xml:space="preserve">구조화된 ESG 지식을 질문별로 선택하고 검증된 Skill을 실행하며, 부족하거나 위험한 상황에서는 멈추는 전 과정을 확인할 수 있는 실행형 ESG AI다.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pple SD Gothic Neo" w:cs="Apple SD Gothic Neo" w:eastAsia="Apple SD Gothic Neo" w:hAnsi="Apple SD Gothic Neo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pple SD Gothic Neo" w:cs="Apple SD Gothic Neo" w:eastAsia="Apple SD Gothic Neo" w:hAnsi="Apple SD Gothic Neo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pple SD Gothic Neo" w:cs="Apple SD Gothic Neo" w:eastAsia="Apple SD Gothic Neo" w:hAnsi="Apple SD Gothic Neo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ngf4fftia8qodxn7s4ex" Type="http://schemas.openxmlformats.org/officeDocument/2006/relationships/hyperlink" Target="https://www.ui4u.go.kr/depart/industry/bbs/view.do?bIdx=365338&amp;mId=0403000000&amp;ptIdx=35" TargetMode="External"/><Relationship Id="rIdmozmauq3ix9rmsmx5bxwu" Type="http://schemas.openxmlformats.org/officeDocument/2006/relationships/hyperlink" Target="https://github.com/sopia19910/Knowledge-Action-Chain" TargetMode="External"/><Relationship Id="rIdjtahlvmtlxkujszvbunzj" Type="http://schemas.openxmlformats.org/officeDocument/2006/relationships/hyperlink" Target="https://www.kofpi.or.kr/intro/bizGuide_04_02.do" TargetMode="External"/><Relationship Id="rIdw8aabmtz7m-1zwrb1u4xg" Type="http://schemas.openxmlformats.org/officeDocument/2006/relationships/hyperlink" Target="https://carbonregistry.forest.go.kr/" TargetMode="External"/><Relationship Id="rIdxwcrqipb38e54mcebawaj" Type="http://schemas.openxmlformats.org/officeDocument/2006/relationships/hyperlink" Target="https://forestcarbonmarket.kr/" TargetMode="External"/><Relationship Id="rIdmjzh8d_sbumdbjqkmb8ft" Type="http://schemas.openxmlformats.org/officeDocument/2006/relationships/hyperlink" Target="https://ghgprotocol.org/" TargetMode="External"/><Relationship Id="rIdjjr9d0uu3w04g01rmnlmb" Type="http://schemas.openxmlformats.org/officeDocument/2006/relationships/hyperlink" Target="https://sdgs.un.org/goal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2026-08-25T04:20:22.833Z</dcterms:created>
  <dcterms:modified xsi:type="dcterms:W3CDTF">2026-08-25T04:20:22.838Z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