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Результаты обследования установок очистки газа и условий их эксплуатации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