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Выбросы от передвижных ИЗАВ на 2024 год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  <w:vMerge w:val="restart"/>
          </w:tcPr>
          <w:p>
            <w:r>
              <w:t>№</w:t>
            </w:r>
          </w:p>
        </w:tc>
        <w:tc>
          <w:tcPr>
            <w:tcW w:type="dxa" w:w="1113"/>
            <w:vMerge w:val="restart"/>
          </w:tcPr>
          <w:p>
            <w:r>
              <w:t>ИЗАВ, его вид (согласно п.5 настоящего порядка)</w:t>
            </w:r>
          </w:p>
        </w:tc>
        <w:tc>
          <w:tcPr>
            <w:tcW w:type="dxa" w:w="1113"/>
            <w:vMerge w:val="restart"/>
          </w:tcPr>
          <w:p>
            <w:r>
              <w:t>Количество ИЗАВ каждого вида</w:t>
            </w:r>
          </w:p>
        </w:tc>
        <w:tc>
          <w:tcPr>
            <w:tcW w:type="dxa" w:w="1113"/>
            <w:vMerge w:val="restart"/>
          </w:tcPr>
          <w:p>
            <w:r>
              <w:t>Скорость движения ИЗАВ по объекту ОНВ, (км/ч)</w:t>
            </w:r>
          </w:p>
        </w:tc>
        <w:tc>
          <w:tcPr>
            <w:tcW w:type="dxa" w:w="1113"/>
            <w:vMerge w:val="restart"/>
          </w:tcPr>
          <w:p>
            <w:r>
              <w:t>Вид топлива</w:t>
            </w:r>
          </w:p>
        </w:tc>
        <w:tc>
          <w:tcPr>
            <w:tcW w:type="dxa" w:w="1113"/>
            <w:vMerge w:val="restart"/>
          </w:tcPr>
          <w:p>
            <w:r>
              <w:t>Время работы за сезон, (ч)</w:t>
            </w:r>
          </w:p>
        </w:tc>
        <w:tc>
          <w:tcPr>
            <w:tcW w:type="dxa" w:w="1113"/>
            <w:vMerge w:val="restart"/>
          </w:tcPr>
          <w:p>
            <w:r>
              <w:t xml:space="preserve">Время работы за год, (ч) </w:t>
            </w:r>
          </w:p>
        </w:tc>
        <w:tc>
          <w:tcPr>
            <w:tcW w:type="dxa" w:w="3339"/>
            <w:gridSpan w:val="3"/>
          </w:tcPr>
          <w:p>
            <w:r>
              <w:t>Выброс загрязняющих веществ</w:t>
            </w:r>
          </w:p>
        </w:tc>
        <w:tc>
          <w:tcPr>
            <w:tcW w:type="dxa" w:w="1113"/>
            <w:vMerge w:val="restart"/>
          </w:tcPr>
          <w:p>
            <w:r>
              <w:t>Ссылка на расчетную методику</w:t>
            </w:r>
          </w:p>
        </w:tc>
      </w:tr>
      <w:tr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Наименование загрязняющего вещества</w:t>
            </w:r>
          </w:p>
        </w:tc>
        <w:tc>
          <w:tcPr>
            <w:tcW w:type="dxa" w:w="1113"/>
          </w:tcPr>
          <w:p>
            <w:r>
              <w:t>Выбросы ЗВ, макс,(г/с)</w:t>
            </w:r>
          </w:p>
        </w:tc>
        <w:tc>
          <w:tcPr>
            <w:tcW w:type="dxa" w:w="1113"/>
          </w:tcPr>
          <w:p>
            <w:r>
              <w:t>Выбросы ЗВ, за год (т/год)</w:t>
            </w:r>
          </w:p>
        </w:tc>
        <w:tc>
          <w:tcPr>
            <w:tcW w:type="dxa" w:w="1113"/>
            <w:vMerge/>
          </w:tcPr>
          <w:p/>
        </w:tc>
      </w:tr>
      <w:tr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</w:tr>
      <w:tr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