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об инвентаризации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t>0304</w:t>
              <w:br/>
              <w:t xml:space="preserve"> 0330</w:t>
              <w:br/>
              <w:t xml:space="preserve"> 0337</w:t>
              <w:br/>
              <w:t xml:space="preserve"> 2704</w:t>
              <w:br/>
            </w:r>
          </w:p>
        </w:tc>
        <w:tc>
          <w:tcPr>
            <w:tcW w:type="dxa" w:w="680"/>
          </w:tcPr>
          <w:p>
            <w:r>
              <w:t>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Бензин (нефтяной, малосернистый) /в пересчете на углерод/ </w:t>
              <w:br/>
            </w:r>
          </w:p>
        </w:tc>
        <w:tc>
          <w:tcPr>
            <w:tcW w:type="dxa" w:w="680"/>
          </w:tcPr>
          <w:p>
            <w:r>
              <w:t>6.5000000000000004e-06</w:t>
              <w:br/>
              <w:t xml:space="preserve"> 8.25e-06</w:t>
              <w:br/>
              <w:t xml:space="preserve"> 0.0021375000000000005</w:t>
              <w:br/>
              <w:t xml:space="preserve"> 0.0002625</w:t>
              <w:br/>
            </w:r>
          </w:p>
        </w:tc>
        <w:tc>
          <w:tcPr>
            <w:tcW w:type="dxa" w:w="680"/>
          </w:tcPr>
          <w:p>
            <w:r>
              <w:t>1.4118e-06</w:t>
              <w:br/>
              <w:t xml:space="preserve"> 1.7919e-06</w:t>
              <w:br/>
              <w:t xml:space="preserve"> 0.000464265</w:t>
              <w:br/>
              <w:t xml:space="preserve"> 5.7014999999999995e-05</w:t>
            </w:r>
          </w:p>
        </w:tc>
        <w:tc>
          <w:tcPr>
            <w:tcW w:type="dxa" w:w="680"/>
          </w:tcPr>
          <w:p>
            <w:r>
              <w:t>1.4118e-06</w:t>
              <w:br/>
              <w:t xml:space="preserve"> 1.7919e-06</w:t>
              <w:br/>
              <w:t xml:space="preserve"> 0.000464265</w:t>
              <w:br/>
              <w:t xml:space="preserve"> 5.7014999999999995e-05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