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color w:val="000000"/>
          <w:sz w:val="28"/>
        </w:rPr>
        <w:t>Таблица № 3.8 Выбросы от передвижных ИЗАВ на 2024 год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</w:tblGrid>
      <w:tr>
        <w:tc>
          <w:tcPr>
            <w:tcW w:type="dxa" w:w="1113"/>
            <w:vMerge w:val="restart"/>
          </w:tcPr>
          <w:p>
            <w:r>
              <w:t>№</w:t>
            </w:r>
          </w:p>
        </w:tc>
        <w:tc>
          <w:tcPr>
            <w:tcW w:type="dxa" w:w="1113"/>
            <w:vMerge w:val="restart"/>
          </w:tcPr>
          <w:p>
            <w:r>
              <w:t>ИЗАВ, его вид (согласно п.5 настоящего порядка)</w:t>
            </w:r>
          </w:p>
        </w:tc>
        <w:tc>
          <w:tcPr>
            <w:tcW w:type="dxa" w:w="1113"/>
            <w:vMerge w:val="restart"/>
          </w:tcPr>
          <w:p>
            <w:r>
              <w:t>Количество ИЗАВ каждого вида</w:t>
            </w:r>
          </w:p>
        </w:tc>
        <w:tc>
          <w:tcPr>
            <w:tcW w:type="dxa" w:w="1113"/>
            <w:vMerge w:val="restart"/>
          </w:tcPr>
          <w:p>
            <w:r>
              <w:t>Скорость движения ИЗАВ по объекту ОНВ, (км/ч)</w:t>
            </w:r>
          </w:p>
        </w:tc>
        <w:tc>
          <w:tcPr>
            <w:tcW w:type="dxa" w:w="1113"/>
            <w:vMerge w:val="restart"/>
          </w:tcPr>
          <w:p>
            <w:r>
              <w:t>Вид топлива</w:t>
            </w:r>
          </w:p>
        </w:tc>
        <w:tc>
          <w:tcPr>
            <w:tcW w:type="dxa" w:w="1113"/>
            <w:vMerge w:val="restart"/>
          </w:tcPr>
          <w:p>
            <w:r>
              <w:t>Время работы за сезон, (ч)</w:t>
            </w:r>
          </w:p>
        </w:tc>
        <w:tc>
          <w:tcPr>
            <w:tcW w:type="dxa" w:w="1113"/>
            <w:vMerge w:val="restart"/>
          </w:tcPr>
          <w:p>
            <w:r>
              <w:t xml:space="preserve">Время работы за год, (ч) </w:t>
            </w:r>
          </w:p>
        </w:tc>
        <w:tc>
          <w:tcPr>
            <w:tcW w:type="dxa" w:w="3339"/>
            <w:gridSpan w:val="3"/>
          </w:tcPr>
          <w:p>
            <w:r>
              <w:t>Выброс загрязняющих веществ</w:t>
            </w:r>
          </w:p>
        </w:tc>
        <w:tc>
          <w:tcPr>
            <w:tcW w:type="dxa" w:w="1113"/>
            <w:vMerge w:val="restart"/>
          </w:tcPr>
          <w:p>
            <w:r>
              <w:t>Ссылка на расчетную методику</w:t>
            </w:r>
          </w:p>
        </w:tc>
      </w:tr>
      <w:tr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</w:tcPr>
          <w:p>
            <w:r>
              <w:t>Наименование загрязняющего вещества</w:t>
            </w:r>
          </w:p>
        </w:tc>
        <w:tc>
          <w:tcPr>
            <w:tcW w:type="dxa" w:w="1113"/>
          </w:tcPr>
          <w:p>
            <w:r>
              <w:t>Выбросы ЗВ, макс,(г/с)</w:t>
            </w:r>
          </w:p>
        </w:tc>
        <w:tc>
          <w:tcPr>
            <w:tcW w:type="dxa" w:w="1113"/>
          </w:tcPr>
          <w:p>
            <w:r>
              <w:t>Выбросы ЗВ, за год (т/год)</w:t>
            </w:r>
          </w:p>
        </w:tc>
        <w:tc>
          <w:tcPr>
            <w:tcW w:type="dxa" w:w="1113"/>
            <w:vMerge/>
          </w:tcPr>
          <w:p/>
        </w:tc>
      </w:tr>
      <w:tr>
        <w:tc>
          <w:tcPr>
            <w:tcW w:type="dxa" w:w="1113"/>
          </w:tcPr>
          <w:p>
            <w:r>
              <w:t>1</w:t>
            </w:r>
          </w:p>
        </w:tc>
        <w:tc>
          <w:tcPr>
            <w:tcW w:type="dxa" w:w="1113"/>
          </w:tcPr>
          <w:p>
            <w:r>
              <w:t>Автобусы карбюраторные особо малые габаритной длиной до 5.5 м (СНГ)</w:t>
            </w:r>
          </w:p>
        </w:tc>
        <w:tc>
          <w:tcPr>
            <w:tcW w:type="dxa" w:w="1113"/>
          </w:tcPr>
          <w:p>
            <w:r>
              <w:t>1</w:t>
            </w:r>
          </w:p>
        </w:tc>
        <w:tc>
          <w:tcPr>
            <w:tcW w:type="dxa" w:w="1113"/>
          </w:tcPr>
          <w:p>
            <w:r>
              <w:t>10</w:t>
            </w:r>
          </w:p>
        </w:tc>
        <w:tc>
          <w:tcPr>
            <w:tcW w:type="dxa" w:w="1113"/>
          </w:tcPr>
          <w:p>
            <w:r>
              <w:t>газ</w:t>
            </w:r>
          </w:p>
        </w:tc>
        <w:tc>
          <w:tcPr>
            <w:tcW w:type="dxa" w:w="1113"/>
          </w:tcPr>
          <w:p>
            <w:r>
              <w:t>271.5</w:t>
            </w:r>
          </w:p>
        </w:tc>
        <w:tc>
          <w:tcPr>
            <w:tcW w:type="dxa" w:w="1113"/>
          </w:tcPr>
          <w:p>
            <w:r>
              <w:t>271.5</w:t>
            </w:r>
          </w:p>
        </w:tc>
        <w:tc>
          <w:tcPr>
            <w:tcW w:type="dxa" w:w="1113"/>
          </w:tcPr>
          <w:p>
            <w:r>
              <w:t>(0301) Азота диоксид</w:t>
              <w:br/>
              <w:t xml:space="preserve"> (0304) Азот (II) оксид</w:t>
              <w:br/>
              <w:t xml:space="preserve"> 0330 Сера диоксид</w:t>
              <w:br/>
              <w:t xml:space="preserve"> 0337 Углерода оксид</w:t>
              <w:br/>
              <w:t xml:space="preserve"> 2704 Бензин (нефтяной, малосернистый) /в пересчете на углерод/</w:t>
              <w:br/>
            </w:r>
          </w:p>
        </w:tc>
        <w:tc>
          <w:tcPr>
            <w:tcW w:type="dxa" w:w="1113"/>
          </w:tcPr>
          <w:p>
            <w:r>
              <w:t>4e-05</w:t>
              <w:br/>
              <w:t>6.5e-06</w:t>
              <w:br/>
              <w:t xml:space="preserve"> 8.25e-06</w:t>
              <w:br/>
              <w:t xml:space="preserve"> 0.002138</w:t>
              <w:br/>
              <w:t xml:space="preserve"> 0.0002625</w:t>
              <w:br/>
            </w:r>
          </w:p>
        </w:tc>
        <w:tc>
          <w:tcPr>
            <w:tcW w:type="dxa" w:w="1113"/>
          </w:tcPr>
          <w:p>
            <w:r>
              <w:t>8.7e-06</w:t>
              <w:br/>
              <w:t>1.4e-06</w:t>
              <w:br/>
              <w:t xml:space="preserve"> 1.79e-06</w:t>
              <w:br/>
              <w:t xml:space="preserve"> 0.000464</w:t>
              <w:br/>
              <w:t xml:space="preserve"> 5.7e-05</w:t>
            </w:r>
          </w:p>
        </w:tc>
        <w:tc>
          <w:tcPr>
            <w:tcW w:type="dxa" w:w="1113"/>
          </w:tcPr>
          <w:p>
            <w:r>
              <w:t>0001</w:t>
            </w:r>
          </w:p>
        </w:tc>
      </w:tr>
      <w:tr>
        <w:tc>
          <w:tcPr>
            <w:tcW w:type="dxa" w:w="1113"/>
          </w:tcPr>
          <w:p>
            <w:r>
              <w:t>Всего</w:t>
            </w:r>
          </w:p>
        </w:tc>
        <w:tc>
          <w:tcPr>
            <w:tcW w:type="dxa" w:w="1113"/>
          </w:tcPr>
          <w:p/>
        </w:tc>
        <w:tc>
          <w:tcPr>
            <w:tcW w:type="dxa" w:w="1113"/>
          </w:tcPr>
          <w:p>
            <w:r>
              <w:t>1</w:t>
            </w:r>
          </w:p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>
            <w:r>
              <w:t>0.0005328900000000001</w:t>
            </w:r>
          </w:p>
        </w:tc>
        <w:tc>
          <w:tcPr>
            <w:tcW w:type="dxa" w:w="1113"/>
          </w:tcPr>
          <w:p/>
        </w:tc>
      </w:tr>
      <w:tr>
        <w:tc>
          <w:tcPr>
            <w:tcW w:type="dxa" w:w="12243"/>
            <w:gridSpan w:val="11"/>
          </w:tcPr>
          <w:p>
            <w:r>
              <w:t xml:space="preserve">Примечание. Список использованных расчетных методик: 0001 - Методика проведения инвентаризации выбросов ЗВ в атмосферу для автотранспортных предприя-тий". - М., НИИАТ, 1998г. с учётом "Дополнений к методике" ( М., НИИАТ, 1999г.) и Методики…для баз дорожной техники". - М., НИИАТ, 1999г 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1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