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b/>
          <w:color w:val="000000"/>
          <w:sz w:val="16"/>
        </w:rP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rPr>
          <w:sz w:val="12"/>
        </w:rPr>
        <w:br/>
        <w:t xml:space="preserve">    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 xml:space="preserve">    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 xml:space="preserve">    Суммарные выбросы ЗВ в атмосферный воздух с учетом их очистки и утилизации (в целом по объекту ОНВ) учтены в таблице 3.7.</w:t>
        <w:br/>
        <w:t xml:space="preserve">    Выбросы от передвижных ИЗАВ учтены в таблице 3.8.</w:t>
      </w:r>
    </w:p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80"/>
        <w:gridCol w:w="68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rPr>
                <w:sz w:val="8"/>
              </w:rP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rPr>
                <w:sz w:val="8"/>
              </w:rP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rPr>
                <w:sz w:val="8"/>
              </w:rP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rPr>
                <w:sz w:val="8"/>
              </w:rP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Код</w:t>
            </w:r>
          </w:p>
        </w:tc>
        <w:tc>
          <w:tcPr>
            <w:tcW w:type="dxa" w:w="680"/>
            <w:vMerge w:val="restart"/>
          </w:tcPr>
          <w:p>
            <w:r>
              <w:rPr>
                <w:sz w:val="8"/>
              </w:rP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rPr>
                <w:sz w:val="8"/>
              </w:rP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rPr>
                <w:sz w:val="8"/>
              </w:rPr>
              <w:t>г/с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rPr>
                <w:sz w:val="8"/>
              </w:rP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rPr>
                <w:sz w:val="8"/>
              </w:rP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  <w:t xml:space="preserve"> Азота диоксид </w:t>
              <w:br/>
              <w:br/>
              <w:t xml:space="preserve"> Азот (II) оксид </w:t>
              <w:br/>
              <w:br/>
              <w:t xml:space="preserve"> Сера диоксид </w:t>
              <w:br/>
              <w:br/>
              <w:t xml:space="preserve"> Углерода оксид </w:t>
              <w:br/>
              <w:br/>
              <w:t xml:space="preserve"> Бензин (нефтяной,малосернистый) /в пересчете на углерод/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0.0021</w:t>
              <w:br/>
              <w:br/>
              <w:t>0.000337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0.0000364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0.032484</w:t>
              <w:br/>
              <w:br/>
              <w:t>0.005279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0.00000923</w:t>
              <w:br/>
              <w:br/>
              <w:t>1.513e-05</w:t>
              <w:br/>
              <w:br/>
              <w:t>0.007651</w:t>
              <w:br/>
              <w:br/>
              <w:t xml:space="preserve"> 0.000808</w:t>
              <w:br/>
              <w:br/>
              <w:t xml:space="preserve"> 8.7e-06 </w:t>
              <w:br/>
              <w:br/>
              <w:t xml:space="preserve"> 1.4e-06 </w:t>
              <w:br/>
              <w:br/>
              <w:t xml:space="preserve"> 1.79e-06 </w:t>
              <w:br/>
              <w:br/>
              <w:t xml:space="preserve"> 0.000464</w:t>
              <w:br/>
              <w:br/>
              <w:t xml:space="preserve"> 5.7e-05</w:t>
            </w:r>
          </w:p>
        </w:tc>
        <w:tc>
          <w:tcPr>
            <w:tcW w:type="dxa" w:w="680"/>
          </w:tcPr>
          <w:p>
            <w:r>
              <w:rPr>
                <w:sz w:val="8"/>
              </w:rPr>
              <w:t>0.032484</w:t>
              <w:br/>
              <w:br/>
              <w:t>0.005279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0.00000923</w:t>
              <w:br/>
              <w:br/>
              <w:t>1.513e-05</w:t>
              <w:br/>
              <w:br/>
              <w:t>0.007651</w:t>
              <w:br/>
              <w:br/>
              <w:t xml:space="preserve"> 0.000808</w:t>
              <w:br/>
              <w:br/>
              <w:t xml:space="preserve"> 8.7e-06 </w:t>
              <w:br/>
              <w:br/>
              <w:t xml:space="preserve"> 1.4e-06 </w:t>
              <w:br/>
              <w:br/>
              <w:t xml:space="preserve"> 1.79e-06 </w:t>
              <w:br/>
              <w:br/>
              <w:t xml:space="preserve"> 0.000464</w:t>
              <w:br/>
              <w:br/>
              <w:t xml:space="preserve"> 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Стационарные источники выбросов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c>
          <w:tcPr>
            <w:tcW w:type="dxa" w:w="2880"/>
          </w:tcPr>
          <w:p>
            <w:r>
              <w:rPr>
                <w:sz w:val="8"/>
              </w:rPr>
              <w:t>№ ИЗАВ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Тип ИЗАВ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Наименование ИЗАВ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Число ИЗАВ, объединенных под одним номером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Высота источника, 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Диаметр устья (круглое), 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Длина устья (прямоугольное), 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Ширина устья (прямоугольное), 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Координаты X1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Координаты Y1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Координаты X2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Координаты Y2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Ширина площадочного источника, м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№ режима (стадии) выброса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Скорость выхода ГВС, м/с (фактическая/осреднённая)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Вертикальная составляющая осреднённой скорости выхода ГВС, м/с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Объём (расход ГВС), м³/c (при фактических условиях) осреднённый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Температура ГВС °C осреднённая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Плотность ГВС, кг/м3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КОД ЗВ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Наименование ЗВ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Концентрация мг/м3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Мощность выброса, г/с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Суммарные годовые (валовые) выбросы режима (стадии) ИЗАВ, т/год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Итого за год выброс веществ источником, т/год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Примечание</w:t>
            </w:r>
          </w:p>
        </w:tc>
      </w:tr>
      <w:tr>
        <w:tc>
          <w:tcPr>
            <w:tcW w:type="dxa" w:w="2880"/>
          </w:tcPr>
          <w:p>
            <w:r>
              <w:rPr>
                <w:sz w:val="8"/>
              </w:rPr>
              <w:t>0001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Организованный, точечный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Труба котельной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6.0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0.47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174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174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7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1.2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110.0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0301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Азота диоксид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2.43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0.0021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0.0325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0.0325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8"/>
              </w:rPr>
              <w:t>0002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Организованный, точечный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Труба продувочной свечи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6.0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0.032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156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205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0.004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20.0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0304</w:t>
              <w:br/>
              <w:t>0337</w:t>
              <w:br/>
              <w:t>0703</w:t>
              <w:br/>
              <w:t>0410</w:t>
              <w:br/>
              <w:t>1728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Азот (II) оксид</w:t>
              <w:br/>
              <w:t>Углерода оксид</w:t>
              <w:br/>
              <w:t>Бенз/а/пирен</w:t>
              <w:br/>
              <w:t>Метан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0.35</w:t>
              <w:br/>
              <w:t xml:space="preserve"> 7.51</w:t>
              <w:br/>
              <w:t xml:space="preserve"> 0.000005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0.0003</w:t>
              <w:br/>
              <w:t xml:space="preserve"> 0.0065</w:t>
              <w:br/>
              <w:t xml:space="preserve"> 0.000000004</w:t>
              <w:br/>
              <w:t xml:space="preserve"> 0.00095</w:t>
              <w:br/>
              <w:t xml:space="preserve"> 0.0000000042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0.0053</w:t>
              <w:br/>
              <w:t xml:space="preserve"> 0.0001</w:t>
              <w:br/>
              <w:t xml:space="preserve"> 0.0000001</w:t>
              <w:br/>
              <w:t xml:space="preserve"> 0.000014</w:t>
              <w:br/>
              <w:t xml:space="preserve"> 0.00000000006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0.0053</w:t>
              <w:br/>
              <w:t xml:space="preserve"> 0.0001</w:t>
              <w:br/>
              <w:t xml:space="preserve"> 0.0000001</w:t>
              <w:br/>
              <w:t xml:space="preserve"> 0.000014</w:t>
              <w:br/>
              <w:t xml:space="preserve"> 0.00000000006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8"/>
              </w:rPr>
              <w:t>6003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Неорганизованный, площадной</w:t>
            </w:r>
          </w:p>
        </w:tc>
        <w:tc>
          <w:tcPr>
            <w:tcW w:type="dxa" w:w="1440"/>
          </w:tcPr>
          <w:p>
            <w:r>
              <w:rPr>
                <w:sz w:val="8"/>
              </w:rPr>
              <w:t>Открытая стоянка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2.0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168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109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176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109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3.0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0301</w:t>
              <w:br/>
              <w:t>0304</w:t>
              <w:br/>
              <w:t>0330</w:t>
              <w:br/>
              <w:t>0337</w:t>
              <w:br/>
              <w:t>2704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Этантиол</w:t>
              <w:br/>
              <w:t>Азота диоксид</w:t>
              <w:br/>
              <w:t>Азот (II) оксид</w:t>
              <w:br/>
              <w:t>Сера диоксид</w:t>
              <w:br/>
              <w:t>Углерода оксид</w:t>
              <w:br/>
              <w:t>Бензин (нефтяной, малосернистый) в пересчете на углерод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253.6</w:t>
              <w:br/>
              <w:t xml:space="preserve"> 0.001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0.000264</w:t>
              <w:br/>
              <w:t xml:space="preserve"> 0.0000429</w:t>
              <w:br/>
              <w:t xml:space="preserve"> 0.00006705</w:t>
              <w:br/>
              <w:t xml:space="preserve"> 0.033398</w:t>
              <w:br/>
              <w:t xml:space="preserve"> 0.0036225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0.000065488</w:t>
              <w:br/>
              <w:t xml:space="preserve"> 0.0000106418</w:t>
              <w:br/>
              <w:t xml:space="preserve"> 0.000016922</w:t>
              <w:br/>
              <w:t xml:space="preserve"> 0.008114</w:t>
              <w:br/>
              <w:t xml:space="preserve"> 0.000865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  <w:t>0.000065488</w:t>
              <w:br/>
              <w:t xml:space="preserve"> 0.0000106418</w:t>
              <w:br/>
              <w:t xml:space="preserve"> 0.000016922</w:t>
              <w:br/>
              <w:t xml:space="preserve"> 0.008114</w:t>
              <w:br/>
              <w:t xml:space="preserve"> 0.000865</w:t>
            </w:r>
          </w:p>
        </w:tc>
        <w:tc>
          <w:tcPr>
            <w:tcW w:type="dxa" w:w="609"/>
          </w:tcPr>
          <w:p>
            <w:r>
              <w:rPr>
                <w:sz w:val="8"/>
              </w:rPr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0.032484</w:t>
              <w:br/>
              <w:t xml:space="preserve"> 0.005279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0.046950120060999995</w:t>
            </w:r>
          </w:p>
        </w:tc>
        <w:tc>
          <w:tcPr>
            <w:tcW w:type="dxa" w:w="1224"/>
          </w:tcPr>
          <w:p>
            <w:r>
              <w:t>0.046950120060999995</w:t>
            </w:r>
          </w:p>
        </w:tc>
        <w:tc>
          <w:tcPr>
            <w:tcW w:type="dxa" w:w="1224"/>
          </w:tcPr>
          <w:p>
            <w:r>
              <w:t>0.037877100061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0.046950120060999995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0.04695002006099999</w:t>
            </w:r>
          </w:p>
        </w:tc>
        <w:tc>
          <w:tcPr>
            <w:tcW w:type="dxa" w:w="1224"/>
          </w:tcPr>
          <w:p>
            <w:r>
              <w:t>0.04695002006099999</w:t>
            </w:r>
          </w:p>
        </w:tc>
        <w:tc>
          <w:tcPr>
            <w:tcW w:type="dxa" w:w="1224"/>
          </w:tcPr>
          <w:p>
            <w:r>
              <w:t>0.037877000061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0.04695002006099999</w:t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