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СОДЕРЖАНИЕ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Перечень основных разделов отчета по инвентаризации выбросов</w:t>
            </w:r>
          </w:p>
        </w:tc>
        <w:tc>
          <w:tcPr>
            <w:tcW w:type="dxa" w:w="2880"/>
          </w:tcPr>
          <w:p>
            <w:r>
              <w:t>с.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Введение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1. Сведения о хозяйствующем субъекте, объекте ОНВ, его отдельных территориях и производственной деятельности, включая сведения о количестве, характеристиках и эффективности ГОУ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2. Описание проведенных работ по инвентаризации выбросов с указанием нормативно-методических документов, перечня использованных методик выполнения измерений ЗВ и расчетного определения выбросов ЗВ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  <w:vMerge w:val="restart"/>
          </w:tcPr>
          <w:p>
            <w:r>
              <w:t>4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5</w:t>
            </w:r>
          </w:p>
        </w:tc>
        <w:tc>
          <w:tcPr>
            <w:tcW w:type="dxa" w:w="2880"/>
          </w:tcPr>
          <w:p>
            <w:r>
              <w:t>3. Характеристики ИЗАВ, показатели работы ГОУ, суммарные выбросы по объекту ОНВ, включая: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3.1 Источники выделения загрязняющих веществ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3.2 Источники выбросов загрязняющих веществ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3.6 Результаты обследования ГОУ и условий их эксплуатации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3.7 Суммарные выбросы ЗВ в атмосферный воздух (т/год), их очистка и утилизация (в целом по объекту ОНВ)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3.8 Выбросы от передвижных ИЗАВ на 2024 год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  <w:vMerge w:val="restart"/>
          </w:tcPr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2880"/>
          </w:tcPr>
          <w:p>
            <w:r>
              <w:t>Приложение №1. Карта-схема расположения источников выбросов загрязняющих веществ в атмосферу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№2. Результаты определения выбросов ЗВ расчетными (балансовыми) методами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№3. Результаты инструментального определения показателей выбросов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№4. Таблицы учета нестационарности выбросов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№5. Копия аттестата аккредитации привлекаемой аналитической лаборатории с приложением области аккредитации, копии материалов, использованных в ходе инвентаризации выбросов и составления отчета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№6. Справочное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