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16"/>
        </w:rPr>
        <w:br/>
        <w:t xml:space="preserve">    1. СВЕДЕНИЯ О ХОЗЯЙСТВУЮЩЕМ СУБЪЕКТЕ, ОБЪЕКТЕ ОНВ, ЕГО ОТДЕЛЬНЫХ ТЕРРИТОРИЯХ И ПРОИЗВОДСТВЕННОЙ ДЕЯТЕЛЬНОСТИ, ВКЛЮЧАЯ СВЕДЕНИЯ О КОЛИЧЕСТВЕ, ХАРАКТЕРИСТИКАХ И ЭФФЕКТИВНОСТИ ГОУ</w:t>
      </w:r>
    </w:p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16"/>
        </w:rPr>
        <w:br/>
        <w:t xml:space="preserve">    1.1 Сведения о хозяйствующем субъекте, объекте ОНВ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Категория</w:t>
            </w:r>
          </w:p>
        </w:tc>
        <w:tc>
          <w:tcPr>
            <w:tcW w:type="dxa" w:w="4320"/>
          </w:tcPr>
          <w:p>
            <w:r>
              <w:t>Значение</w:t>
            </w:r>
          </w:p>
        </w:tc>
      </w:tr>
      <w:tr>
        <w:tc>
          <w:tcPr>
            <w:tcW w:type="dxa" w:w="4320"/>
          </w:tcPr>
          <w:p>
            <w:r>
              <w:t>Полное наименование предприятия</w:t>
            </w:r>
          </w:p>
        </w:tc>
        <w:tc>
          <w:tcPr>
            <w:tcW w:type="dxa" w:w="4320"/>
          </w:tcPr>
          <w:p>
            <w:r>
              <w:t>Муниципальное бюджетное общеобразовательное учреждение «Мирошкинская средняя общеобразовательная школа» Первомайского района Оренбургской области</w:t>
            </w:r>
          </w:p>
        </w:tc>
      </w:tr>
      <w:tr>
        <w:tc>
          <w:tcPr>
            <w:tcW w:type="dxa" w:w="4320"/>
          </w:tcPr>
          <w:p>
            <w:r>
              <w:t>Сокращенное наименование предприятия</w:t>
            </w:r>
          </w:p>
        </w:tc>
        <w:tc>
          <w:tcPr>
            <w:tcW w:type="dxa" w:w="4320"/>
          </w:tcPr>
          <w:p>
            <w:r>
              <w:t>МБОУ «Мирошкинская СОШ»</w:t>
            </w:r>
          </w:p>
        </w:tc>
      </w:tr>
      <w:tr>
        <w:tc>
          <w:tcPr>
            <w:tcW w:type="dxa" w:w="4320"/>
          </w:tcPr>
          <w:p>
            <w:r>
              <w:t>Адрес юридического лица</w:t>
            </w:r>
          </w:p>
        </w:tc>
        <w:tc>
          <w:tcPr>
            <w:tcW w:type="dxa" w:w="4320"/>
          </w:tcPr>
          <w:p>
            <w:r>
              <w:t>461987, Оренбургская область, Первомайский район, с. Мирошкино, ул. Центральная, 27</w:t>
            </w:r>
          </w:p>
        </w:tc>
      </w:tr>
      <w:tr>
        <w:tc>
          <w:tcPr>
            <w:tcW w:type="dxa" w:w="4320"/>
          </w:tcPr>
          <w:p>
            <w:r>
              <w:t>Адреса осуществления деятельности</w:t>
            </w:r>
          </w:p>
        </w:tc>
        <w:tc>
          <w:tcPr>
            <w:tcW w:type="dxa" w:w="4320"/>
          </w:tcPr>
          <w:p>
            <w:r>
              <w:t>461987, Оренбургская область, Первомайский район, с. Мирошкино, ул. Центральная, 27</w:t>
            </w:r>
          </w:p>
        </w:tc>
      </w:tr>
      <w:tr>
        <w:tc>
          <w:tcPr>
            <w:tcW w:type="dxa" w:w="4320"/>
          </w:tcPr>
          <w:p>
            <w:r>
              <w:t>Фактический адрес площадки</w:t>
            </w:r>
          </w:p>
        </w:tc>
        <w:tc>
          <w:tcPr>
            <w:tcW w:type="dxa" w:w="4320"/>
          </w:tcPr>
          <w:p>
            <w:r>
              <w:t>461987, Оренбургская область, Первомайский район, с. Мирошкино, ул. Центральная, 27</w:t>
            </w:r>
          </w:p>
        </w:tc>
      </w:tr>
      <w:tr>
        <w:tc>
          <w:tcPr>
            <w:tcW w:type="dxa" w:w="4320"/>
          </w:tcPr>
          <w:p>
            <w:r>
              <w:t>ИНН</w:t>
            </w:r>
          </w:p>
        </w:tc>
        <w:tc>
          <w:tcPr>
            <w:tcW w:type="dxa" w:w="4320"/>
          </w:tcPr>
          <w:p>
            <w:r>
              <w:t>5639004992</w:t>
            </w:r>
          </w:p>
        </w:tc>
      </w:tr>
      <w:tr>
        <w:tc>
          <w:tcPr>
            <w:tcW w:type="dxa" w:w="4320"/>
          </w:tcPr>
          <w:p>
            <w:r>
              <w:t>ОГРН</w:t>
            </w:r>
          </w:p>
        </w:tc>
        <w:tc>
          <w:tcPr>
            <w:tcW w:type="dxa" w:w="4320"/>
          </w:tcPr>
          <w:p>
            <w:r>
              <w:t>1025602832474</w:t>
            </w:r>
          </w:p>
        </w:tc>
      </w:tr>
      <w:tr>
        <w:tc>
          <w:tcPr>
            <w:tcW w:type="dxa" w:w="4320"/>
          </w:tcPr>
          <w:p>
            <w:r>
              <w:t>КПП</w:t>
            </w:r>
          </w:p>
        </w:tc>
        <w:tc>
          <w:tcPr>
            <w:tcW w:type="dxa" w:w="4320"/>
          </w:tcPr>
          <w:p>
            <w:r>
              <w:t>563901001</w:t>
            </w:r>
          </w:p>
        </w:tc>
      </w:tr>
      <w:tr>
        <w:tc>
          <w:tcPr>
            <w:tcW w:type="dxa" w:w="4320"/>
          </w:tcPr>
          <w:p>
            <w:r>
              <w:t>ОКФС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ОКОПФ</w:t>
            </w:r>
          </w:p>
        </w:tc>
        <w:tc>
          <w:tcPr>
            <w:tcW w:type="dxa" w:w="4320"/>
          </w:tcPr>
          <w:p>
            <w:r>
              <w:t>75403</w:t>
            </w:r>
          </w:p>
        </w:tc>
      </w:tr>
      <w:tr>
        <w:tc>
          <w:tcPr>
            <w:tcW w:type="dxa" w:w="4320"/>
          </w:tcPr>
          <w:p>
            <w:r>
              <w:t>ОКОГУ</w:t>
            </w:r>
          </w:p>
        </w:tc>
        <w:tc>
          <w:tcPr>
            <w:tcW w:type="dxa" w:w="4320"/>
          </w:tcPr>
          <w:p>
            <w:r>
              <w:t>4210007</w:t>
            </w:r>
          </w:p>
        </w:tc>
      </w:tr>
      <w:tr>
        <w:tc>
          <w:tcPr>
            <w:tcW w:type="dxa" w:w="4320"/>
          </w:tcPr>
          <w:p>
            <w:r>
              <w:t>ОКТМО</w:t>
            </w:r>
          </w:p>
        </w:tc>
        <w:tc>
          <w:tcPr>
            <w:tcW w:type="dxa" w:w="4320"/>
          </w:tcPr>
          <w:p>
            <w:r>
              <w:t>53636413101</w:t>
            </w:r>
          </w:p>
        </w:tc>
      </w:tr>
      <w:tr>
        <w:tc>
          <w:tcPr>
            <w:tcW w:type="dxa" w:w="4320"/>
          </w:tcPr>
          <w:p>
            <w:r>
              <w:t>ОКПО</w:t>
            </w:r>
          </w:p>
        </w:tc>
        <w:tc>
          <w:tcPr>
            <w:tcW w:type="dxa" w:w="4320"/>
          </w:tcPr>
          <w:p>
            <w:r>
              <w:t>36382098</w:t>
            </w:r>
          </w:p>
        </w:tc>
      </w:tr>
      <w:tr>
        <w:tc>
          <w:tcPr>
            <w:tcW w:type="dxa" w:w="4320"/>
          </w:tcPr>
          <w:p>
            <w:r>
              <w:t>ОКВЭД</w:t>
            </w:r>
          </w:p>
        </w:tc>
        <w:tc>
          <w:tcPr>
            <w:tcW w:type="dxa" w:w="4320"/>
          </w:tcPr>
          <w:p>
            <w:r>
              <w:t>Основной:85.14 Образование среднее общееДополнительные:85.41 Образование дополнительное детей и взрослых</w:t>
            </w:r>
          </w:p>
        </w:tc>
      </w:tr>
      <w:tr>
        <w:tc>
          <w:tcPr>
            <w:tcW w:type="dxa" w:w="4320"/>
          </w:tcPr>
          <w:p>
            <w:r>
              <w:t>Коды, присвоенные при постановке на государственный учет ОНВ</w:t>
            </w:r>
          </w:p>
        </w:tc>
        <w:tc>
          <w:tcPr>
            <w:tcW w:type="dxa" w:w="4320"/>
          </w:tcPr>
          <w:p>
            <w:r>
              <w:t>Наименование объекта НВОС: МБОУ «Мирошкинская СОШ»Код объекта НВОС: 53-0256-004222-ПРегиональный уровень надзораIV-я категория</w:t>
            </w:r>
          </w:p>
        </w:tc>
      </w:tr>
      <w:tr>
        <w:tc>
          <w:tcPr>
            <w:tcW w:type="dxa" w:w="4320"/>
          </w:tcPr>
          <w:p>
            <w:r>
              <w:t>Директор</w:t>
            </w:r>
          </w:p>
        </w:tc>
        <w:tc>
          <w:tcPr>
            <w:tcW w:type="dxa" w:w="4320"/>
          </w:tcPr>
          <w:p>
            <w:r>
              <w:t>Жумалиев Владимир Ромазанович</w:t>
            </w:r>
          </w:p>
        </w:tc>
      </w:tr>
      <w:tr>
        <w:tc>
          <w:tcPr>
            <w:tcW w:type="dxa" w:w="4320"/>
          </w:tcPr>
          <w:p>
            <w:r>
              <w:t>Должностные лица, ответственные за проведение инвентаризации выбросов МБОУ «Мирошкинская СОШ»</w:t>
            </w:r>
          </w:p>
        </w:tc>
        <w:tc>
          <w:tcPr>
            <w:tcW w:type="dxa" w:w="4320"/>
          </w:tcPr>
          <w:p>
            <w:r>
              <w:t>Директор Жумалиев Владимир Ромазанович</w:t>
            </w:r>
          </w:p>
        </w:tc>
      </w:tr>
      <w:tr>
        <w:tc>
          <w:tcPr>
            <w:tcW w:type="dxa" w:w="4320"/>
          </w:tcPr>
          <w:p>
            <w:r>
              <w:t>Краткая характеристика местности, прилегающей к объекту ОНВ</w:t>
            </w:r>
          </w:p>
        </w:tc>
        <w:tc>
          <w:tcPr>
            <w:tcW w:type="dxa" w:w="4320"/>
          </w:tcPr>
          <w:p>
            <w:r>
              <w:t>С южной стороны располагается автодорога. В восточном и северо-восточном направлении расположены здание здравоохранения и детского сада.В северном направлении расположены земли для сельскохозяйственное использование.</w:t>
            </w:r>
          </w:p>
        </w:tc>
      </w:tr>
      <w:tr>
        <w:tc>
          <w:tcPr>
            <w:tcW w:type="dxa" w:w="4320"/>
          </w:tcPr>
          <w:p>
            <w:r>
              <w:t>Размеры и границы санитарно-защитной зоны</w:t>
            </w:r>
          </w:p>
        </w:tc>
        <w:tc>
          <w:tcPr>
            <w:tcW w:type="dxa" w:w="4320"/>
          </w:tcPr>
          <w:p>
            <w:r>
              <w:t>Согласно СанПиН 2.2.1/2.1.1.1200-03 «Санитарно-защитные зоны и санитарная классификация предприятий, сооружений и иных объектов» (утв. постановлением Главного государственного санитарного врача РФ от 25 сентября 2007 г. N 74) с изменениями и дополнениями от 10 апреля 2008 г., 6 октября 2009 г., 9 сентября 2010 г., 25 апреля 2014 г., 28 февраля 2022 г.МБОУ «Мирошкинская СОШ»:Для собственных котельных тепловой мощностью менее 200 Гкал, работающих на твердом, жидком и газообразном топливе, размер санитарно-защитной зоны не устанавливается.</w:t>
            </w:r>
          </w:p>
        </w:tc>
      </w:tr>
    </w:tbl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16"/>
        </w:rPr>
        <w:br/>
        <w:t xml:space="preserve">    1.2 Сведения о производственной деятельности, количестве, характеристиках и эффективности ГОУ</w:t>
      </w:r>
    </w:p>
    <w:p>
      <w:pPr>
        <w:spacing w:after="0"/>
      </w:pPr>
      <w:r>
        <w:rPr>
          <w:rFonts w:ascii="Times New Roman" w:hAnsi="Times New Roman"/>
          <w:sz w:val="16"/>
        </w:rPr>
        <w:t>Численность рабочих по штатному: 21 человек</w:t>
      </w:r>
    </w:p>
    <w:p>
      <w:pPr>
        <w:spacing w:after="0"/>
      </w:pPr>
      <w:r>
        <w:rPr>
          <w:rFonts w:ascii="Times New Roman" w:hAnsi="Times New Roman"/>
          <w:sz w:val="16"/>
        </w:rPr>
        <w:t>Среднесписочная численность: 17 человек</w:t>
      </w:r>
    </w:p>
    <w:p>
      <w:pPr>
        <w:spacing w:after="0"/>
      </w:pPr>
      <w:r>
        <w:rPr>
          <w:rFonts w:ascii="Times New Roman" w:hAnsi="Times New Roman"/>
          <w:sz w:val="16"/>
        </w:rPr>
        <w:t>Дата ввода объекта в эксплуатацию: 2001 г. (Котельная)</w:t>
      </w:r>
    </w:p>
    <w:p>
      <w:pPr>
        <w:spacing w:after="0"/>
      </w:pPr>
      <w:r>
        <w:rPr>
          <w:rFonts w:ascii="Times New Roman" w:hAnsi="Times New Roman"/>
          <w:sz w:val="16"/>
        </w:rPr>
        <w:t>Адрес расположения площадки: 461987, Оренбургская область, Первомайский район, с. Мирошкино, ул. Центральная, 27</w:t>
      </w:r>
    </w:p>
    <w:p>
      <w:pPr>
        <w:spacing w:after="0"/>
      </w:pPr>
      <w:r>
        <w:rPr>
          <w:rFonts w:ascii="Times New Roman" w:hAnsi="Times New Roman"/>
          <w:sz w:val="16"/>
        </w:rPr>
        <w:t>Земельный участок: 56:22:0501001:4 площадью 15 550 м²</w:t>
      </w:r>
    </w:p>
    <w:p>
      <w:pPr>
        <w:spacing w:after="0"/>
      </w:pPr>
      <w:r>
        <w:rPr>
          <w:rFonts w:ascii="Times New Roman" w:hAnsi="Times New Roman"/>
          <w:sz w:val="16"/>
        </w:rPr>
        <w:t>Категория земель: Земли населенных пунктов</w:t>
      </w:r>
    </w:p>
    <w:p>
      <w:pPr>
        <w:spacing w:after="0"/>
      </w:pPr>
      <w:r>
        <w:rPr>
          <w:rFonts w:ascii="Times New Roman" w:hAnsi="Times New Roman"/>
          <w:sz w:val="16"/>
        </w:rPr>
        <w:t>Виды разрешённого использования: для размещения административного здания и производственных помещений</w:t>
      </w:r>
    </w:p>
    <w:p>
      <w:pPr>
        <w:spacing w:after="0"/>
      </w:pPr>
      <w:r>
        <w:rPr>
          <w:rFonts w:ascii="Times New Roman" w:hAnsi="Times New Roman"/>
          <w:sz w:val="16"/>
        </w:rPr>
        <w:t>Арендаторы, осуществляющие негативное воздействие на окружающую среду: отсутствуют</w:t>
      </w:r>
    </w:p>
    <w:p>
      <w:pPr>
        <w:spacing w:after="0"/>
      </w:pPr>
      <w:r>
        <w:rPr>
          <w:rFonts w:ascii="Times New Roman" w:hAnsi="Times New Roman"/>
          <w:sz w:val="16"/>
        </w:rPr>
        <w:t>Водоснабжение: централизованное</w:t>
      </w:r>
    </w:p>
    <w:p>
      <w:pPr>
        <w:spacing w:after="0"/>
      </w:pPr>
      <w:r>
        <w:rPr>
          <w:rFonts w:ascii="Times New Roman" w:hAnsi="Times New Roman"/>
          <w:sz w:val="16"/>
        </w:rPr>
        <w:t>Водоотведение: выгребная яма</w:t>
      </w:r>
    </w:p>
    <w:p>
      <w:pPr>
        <w:spacing w:after="0"/>
      </w:pPr>
      <w:r>
        <w:rPr>
          <w:rFonts w:ascii="Times New Roman" w:hAnsi="Times New Roman"/>
          <w:sz w:val="16"/>
        </w:rPr>
        <w:t>Теплоснабжение: от собственной котельной</w:t>
      </w:r>
    </w:p>
    <w:p>
      <w:pPr>
        <w:spacing w:after="0"/>
      </w:pPr>
      <w:r>
        <w:rPr>
          <w:rFonts w:ascii="Times New Roman" w:hAnsi="Times New Roman"/>
          <w:sz w:val="16"/>
        </w:rPr>
        <w:t>Перспективы развития: в ближайшие 7 лет не запланированы</w:t>
      </w:r>
    </w:p>
    <w:p>
      <w:pPr>
        <w:spacing w:after="0"/>
      </w:pPr>
      <w:r>
        <w:rPr>
          <w:rFonts w:ascii="Times New Roman" w:hAnsi="Times New Roman"/>
          <w:sz w:val="16"/>
        </w:rPr>
        <w:t xml:space="preserve">На производственной площадке расположены следующие источники загрязнения атмосферы:: </w:t>
      </w:r>
    </w:p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16"/>
        </w:rPr>
        <w:t>ИЗАВ №0001 – Труба котельной</w:t>
      </w:r>
    </w:p>
    <w:p>
      <w:pPr>
        <w:spacing w:after="0"/>
        <w:jc w:val="center"/>
      </w:pPr>
      <w:r>
        <w:rPr>
          <w:rFonts w:ascii="Times New Roman" w:hAnsi="Times New Roman"/>
          <w:sz w:val="16"/>
        </w:rPr>
        <w:t>ИВ (001): Котлы водогрейные КЧМ -5</w:t>
      </w:r>
    </w:p>
    <w:p>
      <w:pPr>
        <w:spacing w:after="0"/>
      </w:pPr>
      <w:r>
        <w:rPr>
          <w:rFonts w:ascii="Times New Roman" w:hAnsi="Times New Roman"/>
          <w:sz w:val="16"/>
        </w:rPr>
        <w:t>Тип котла: водогрейный КЧМ -5</w:t>
      </w:r>
    </w:p>
    <w:p>
      <w:pPr>
        <w:spacing w:after="0"/>
      </w:pPr>
      <w:r>
        <w:rPr>
          <w:rFonts w:ascii="Times New Roman" w:hAnsi="Times New Roman"/>
          <w:sz w:val="16"/>
        </w:rPr>
        <w:t>Мощность котла: 21 кВт</w:t>
      </w:r>
    </w:p>
    <w:p>
      <w:pPr>
        <w:spacing w:after="0"/>
      </w:pPr>
      <w:r>
        <w:rPr>
          <w:rFonts w:ascii="Times New Roman" w:hAnsi="Times New Roman"/>
          <w:sz w:val="16"/>
        </w:rPr>
        <w:t>Количество котлов в работе: 2 в работе, 0 в резерве</w:t>
      </w:r>
    </w:p>
    <w:p>
      <w:pPr>
        <w:spacing w:after="0"/>
      </w:pPr>
      <w:r>
        <w:rPr>
          <w:rFonts w:ascii="Times New Roman" w:hAnsi="Times New Roman"/>
          <w:sz w:val="16"/>
        </w:rPr>
        <w:t>Количество одновременно работающих котлов: 2 шт.</w:t>
      </w:r>
    </w:p>
    <w:p>
      <w:pPr>
        <w:spacing w:after="0"/>
      </w:pPr>
      <w:r>
        <w:rPr>
          <w:rFonts w:ascii="Times New Roman" w:hAnsi="Times New Roman"/>
          <w:sz w:val="16"/>
        </w:rPr>
        <w:t>Фактический расход топлива на один котёл: 15 024 м³</w:t>
      </w:r>
    </w:p>
    <w:p>
      <w:pPr>
        <w:spacing w:after="0"/>
      </w:pPr>
      <w:r>
        <w:rPr>
          <w:rFonts w:ascii="Times New Roman" w:hAnsi="Times New Roman"/>
          <w:sz w:val="16"/>
        </w:rPr>
        <w:t>Плотность газа: 0,733 кг/м³</w:t>
      </w:r>
    </w:p>
    <w:p>
      <w:pPr>
        <w:spacing w:after="0"/>
      </w:pPr>
      <w:r>
        <w:rPr>
          <w:rFonts w:ascii="Times New Roman" w:hAnsi="Times New Roman"/>
          <w:sz w:val="16"/>
        </w:rPr>
        <w:t>Резервное топливо: отсутствует</w:t>
      </w:r>
    </w:p>
    <w:p>
      <w:pPr>
        <w:spacing w:after="0"/>
      </w:pPr>
      <w:r>
        <w:rPr>
          <w:rFonts w:ascii="Times New Roman" w:hAnsi="Times New Roman"/>
          <w:sz w:val="16"/>
        </w:rPr>
        <w:t>Количество дней работы в год: 181 день</w:t>
      </w:r>
    </w:p>
    <w:p>
      <w:pPr>
        <w:spacing w:after="0"/>
      </w:pPr>
      <w:r>
        <w:rPr>
          <w:rFonts w:ascii="Times New Roman" w:hAnsi="Times New Roman"/>
          <w:sz w:val="16"/>
        </w:rPr>
        <w:t>Время работы в сутки: 24 часа/день</w:t>
      </w:r>
    </w:p>
    <w:p>
      <w:pPr>
        <w:spacing w:after="0"/>
      </w:pPr>
      <w:r>
        <w:rPr>
          <w:rFonts w:ascii="Times New Roman" w:hAnsi="Times New Roman"/>
          <w:sz w:val="16"/>
        </w:rPr>
        <w:t>Высота дымовой трубы: 6 м</w:t>
      </w:r>
    </w:p>
    <w:p>
      <w:pPr>
        <w:spacing w:after="0"/>
      </w:pPr>
      <w:r>
        <w:rPr>
          <w:rFonts w:ascii="Times New Roman" w:hAnsi="Times New Roman"/>
          <w:sz w:val="16"/>
        </w:rPr>
        <w:t>Диаметр дымовой трубы: 0,470 м</w:t>
      </w:r>
    </w:p>
    <w:p>
      <w:pPr>
        <w:spacing w:after="0"/>
      </w:pPr>
      <w:r>
        <w:rPr>
          <w:rFonts w:ascii="Times New Roman" w:hAnsi="Times New Roman"/>
          <w:sz w:val="16"/>
        </w:rPr>
        <w:t>Загрязняющие вещества: Азота диоксид (0301); Азот оксид (0304); Углерода оксид (0337); Бенз/а/пирен (0703).</w:t>
      </w:r>
    </w:p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16"/>
        </w:rPr>
        <w:t>ИЗАВ №0002 – Продувочная свеча</w:t>
      </w:r>
    </w:p>
    <w:p>
      <w:pPr>
        <w:spacing w:after="0"/>
        <w:jc w:val="center"/>
      </w:pPr>
      <w:r>
        <w:rPr>
          <w:rFonts w:ascii="Times New Roman" w:hAnsi="Times New Roman"/>
          <w:sz w:val="16"/>
        </w:rPr>
        <w:t>ИВ (001): Продувочная свеча</w:t>
      </w:r>
    </w:p>
    <w:p>
      <w:pPr>
        <w:spacing w:after="0"/>
      </w:pPr>
      <w:r>
        <w:rPr>
          <w:rFonts w:ascii="Times New Roman" w:hAnsi="Times New Roman"/>
          <w:sz w:val="16"/>
        </w:rPr>
        <w:t>Длина продуваемого трубопровода: 5 м</w:t>
      </w:r>
    </w:p>
    <w:p>
      <w:pPr>
        <w:spacing w:after="0"/>
      </w:pPr>
      <w:r>
        <w:rPr>
          <w:rFonts w:ascii="Times New Roman" w:hAnsi="Times New Roman"/>
          <w:sz w:val="16"/>
        </w:rPr>
        <w:t>Внутренний диаметр продуваемого трубопровода: 57 мм</w:t>
      </w:r>
    </w:p>
    <w:p>
      <w:pPr>
        <w:spacing w:after="0"/>
      </w:pPr>
      <w:r>
        <w:rPr>
          <w:rFonts w:ascii="Times New Roman" w:hAnsi="Times New Roman"/>
          <w:sz w:val="16"/>
        </w:rPr>
        <w:t>Диаметр трубы продувочной свечи: 32 мм</w:t>
      </w:r>
    </w:p>
    <w:p>
      <w:pPr>
        <w:spacing w:after="0"/>
      </w:pPr>
      <w:r>
        <w:rPr>
          <w:rFonts w:ascii="Times New Roman" w:hAnsi="Times New Roman"/>
          <w:sz w:val="16"/>
        </w:rPr>
        <w:t>Высота трубы продувочной свечи: 6 м</w:t>
      </w:r>
    </w:p>
    <w:p>
      <w:pPr>
        <w:spacing w:after="0"/>
      </w:pPr>
      <w:r>
        <w:rPr>
          <w:rFonts w:ascii="Times New Roman" w:hAnsi="Times New Roman"/>
          <w:sz w:val="16"/>
        </w:rPr>
        <w:t>Загрязняющие вещества: Метан (0410); Этантиол (1728).</w:t>
      </w:r>
    </w:p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16"/>
        </w:rPr>
        <w:t>ИЗАВ №0003 – Открытая стоянка</w:t>
      </w:r>
    </w:p>
    <w:p>
      <w:pPr>
        <w:spacing w:after="0"/>
        <w:jc w:val="center"/>
      </w:pPr>
      <w:r>
        <w:rPr>
          <w:rFonts w:ascii="Times New Roman" w:hAnsi="Times New Roman"/>
          <w:sz w:val="16"/>
        </w:rPr>
        <w:t>ИВ (001): Открытая стоянка</w:t>
      </w:r>
    </w:p>
    <w:p>
      <w:pPr>
        <w:spacing w:after="0"/>
      </w:pPr>
      <w:r>
        <w:rPr>
          <w:rFonts w:ascii="Times New Roman" w:hAnsi="Times New Roman"/>
          <w:sz w:val="16"/>
        </w:rPr>
        <w:t>Размеры стоянки: 3 х 8 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16"/>
              </w:rPr>
              <w:t>Марка оборудования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Кол-во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Тип ТС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Время работы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Вид топлива</w:t>
            </w:r>
          </w:p>
        </w:tc>
      </w:tr>
      <w:tr>
        <w:tc>
          <w:tcPr>
            <w:tcW w:type="dxa" w:w="1728"/>
          </w:tcPr>
          <w:p>
            <w:r>
              <w:rPr>
                <w:sz w:val="16"/>
              </w:rPr>
              <w:t>ГАЗ 322171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автобус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1,5 часа/день, 181 дней/год</w:t>
            </w:r>
          </w:p>
        </w:tc>
        <w:tc>
          <w:tcPr>
            <w:tcW w:type="dxa" w:w="1728"/>
          </w:tcPr>
          <w:p>
            <w:r>
              <w:rPr>
                <w:sz w:val="16"/>
              </w:rPr>
              <w:t>Бензин</w:t>
            </w:r>
          </w:p>
        </w:tc>
      </w:tr>
    </w:tbl>
    <w:p>
      <w:pPr>
        <w:spacing w:after="0"/>
      </w:pPr>
      <w:r>
        <w:rPr>
          <w:rFonts w:ascii="Times New Roman" w:hAnsi="Times New Roman"/>
          <w:sz w:val="16"/>
        </w:rPr>
        <w:t>Загрязняющие вещества: Азота диоксид (0301); Азот оксид (0304); Сера диоксид (0330); Углерода оксид (0337); Бензин (нефтяной, малосернистый)/в пересчете на углерод/ (2704).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