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16"/>
        </w:rPr>
        <w:t>1.2.3 Характеристика пылегазоочистного оборудования и оценка его эффективности</w:t>
      </w:r>
    </w:p>
    <w:p>
      <w:r>
        <w:rPr>
          <w:rFonts w:ascii="Times New Roman" w:hAnsi="Times New Roman" w:eastAsia="Times New Roman"/>
          <w:sz w:val="12"/>
        </w:rPr>
        <w:t>Пылегазоочистное оборудование (ПГОУ) на объекте негативного воздействия отсутствуют.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