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Times New Roman"/>
          <w:b/>
          <w:sz w:val="16"/>
        </w:rPr>
        <w:t>1.3 Сведения о результатах предыдущей инвентаризации</w:t>
      </w:r>
    </w:p>
    <w:p>
      <w:r>
        <w:rPr>
          <w:rFonts w:ascii="Times New Roman" w:hAnsi="Times New Roman" w:eastAsia="Times New Roman"/>
          <w:sz w:val="12"/>
        </w:rPr>
        <w:t>Ранее инвентаризации стационарных источников и выбросов вредных веществ в атмосферный воздух для МБОУ «Мирошкинская СОШ» не проводилась.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