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color w:val="000000"/>
          <w:sz w:val="28"/>
        </w:rPr>
        <w:br/>
        <w:t xml:space="preserve">    Таблица № 1.1. </w:t>
        <w:br/>
        <w:t xml:space="preserve">    Режимы работы ИЗАВ и их временные характеристики </w:t>
        <w:br/>
        <w:t xml:space="preserve">    при нестационарности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№ ИЗАВ</w:t>
            </w:r>
          </w:p>
        </w:tc>
        <w:tc>
          <w:tcPr>
            <w:tcW w:type="dxa" w:w="5760"/>
            <w:gridSpan w:val="4"/>
          </w:tcPr>
          <w:p>
            <w:r>
              <w:t>Тип ИЗАВ</w:t>
            </w:r>
          </w:p>
        </w:tc>
        <w:tc>
          <w:tcPr>
            <w:tcW w:type="dxa" w:w="1440"/>
            <w:vMerge w:val="restart"/>
          </w:tcPr>
          <w:p>
            <w:r>
              <w:t>N (код) режима ИЗАВ (в зависимости от времени работы ИВ, одинаковый для одновременно работающих ИЗАВ)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Номер ИВ</w:t>
            </w:r>
          </w:p>
        </w:tc>
        <w:tc>
          <w:tcPr>
            <w:tcW w:type="dxa" w:w="1440"/>
          </w:tcPr>
          <w:p>
            <w:r>
              <w:t>Наименование ИВ</w:t>
            </w:r>
          </w:p>
        </w:tc>
        <w:tc>
          <w:tcPr>
            <w:tcW w:type="dxa" w:w="1440"/>
          </w:tcPr>
          <w:p>
            <w:r>
              <w:t>Описание режима работы ИВ</w:t>
            </w:r>
          </w:p>
        </w:tc>
        <w:tc>
          <w:tcPr>
            <w:tcW w:type="dxa" w:w="1440"/>
          </w:tcPr>
          <w:p>
            <w:r>
              <w:t>Время работы ИВ на конкретном режиме за период времени</w:t>
            </w:r>
          </w:p>
        </w:tc>
        <w:tc>
          <w:tcPr>
            <w:tcW w:type="dxa" w:w="1440"/>
            <w:vMerge/>
          </w:tcPr>
          <w:p/>
        </w:tc>
      </w:tr>
      <w:tr>
        <w:tc>
          <w:tcPr>
            <w:tcW w:type="dxa" w:w="8640"/>
            <w:gridSpan w:val="6"/>
          </w:tcPr>
          <w:p>
            <w:r>
              <w:t>На предприятии один (основной) режим работы, нестационарности не выявлено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