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color w:val="000000"/>
          <w:sz w:val="28"/>
        </w:rPr>
        <w:br/>
        <w:t xml:space="preserve">    Таблица № 1.3.</w:t>
        <w:br/>
        <w:t xml:space="preserve">    Учет нестационарности выбросов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№</w:t>
            </w:r>
          </w:p>
        </w:tc>
        <w:tc>
          <w:tcPr>
            <w:tcW w:type="dxa" w:w="1728"/>
            <w:vMerge w:val="restart"/>
          </w:tcPr>
          <w:p>
            <w:r>
              <w:t>№ ИЗАВ</w:t>
            </w:r>
          </w:p>
        </w:tc>
        <w:tc>
          <w:tcPr>
            <w:tcW w:type="dxa" w:w="1728"/>
            <w:vMerge w:val="restart"/>
          </w:tcPr>
          <w:p>
            <w:r>
              <w:t>Источник выделения</w:t>
            </w:r>
          </w:p>
        </w:tc>
        <w:tc>
          <w:tcPr>
            <w:tcW w:type="dxa" w:w="1728"/>
            <w:vMerge w:val="restart"/>
          </w:tcPr>
          <w:p>
            <w:r>
              <w:t>Характеристики технологических стадий</w:t>
            </w:r>
          </w:p>
        </w:tc>
        <w:tc>
          <w:tcPr>
            <w:tcW w:type="dxa" w:w="1728"/>
            <w:vMerge w:val="restart"/>
          </w:tcPr>
          <w:p>
            <w:r>
              <w:t>Значения характеристик технологических стадий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Название характеристики</w:t>
            </w:r>
          </w:p>
        </w:tc>
        <w:tc>
          <w:tcPr>
            <w:tcW w:type="dxa" w:w="1728"/>
            <w:vMerge/>
          </w:tcPr>
          <w:p/>
        </w:tc>
      </w:tr>
      <w:tr>
        <w:tc>
          <w:tcPr>
            <w:tcW w:type="dxa" w:w="8640"/>
            <w:gridSpan w:val="5"/>
          </w:tcPr>
          <w:p>
            <w:r>
              <w:t>Стадии технологического процесса отсутствуют или не описаны!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1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