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Таблицы учёта характеристик нестационарности выбросов</w:t>
      </w:r>
    </w:p>
    <w:p>
      <w:pPr>
        <w:jc w:val="center"/>
      </w:pPr>
      <w:r>
        <w:rPr>
          <w:b/>
        </w:rPr>
        <w:br/>
        <w:t xml:space="preserve">    Муниципальное бюджетное общеобразовательное учреждение</w:t>
        <w:br/>
        <w:t xml:space="preserve">    «Мирошкинская средняя общеобразовательная школа»</w:t>
        <w:br/>
        <w:t xml:space="preserve">    Первомайского района Оренбургской области</w:t>
        <w:br/>
        <w:t xml:space="preserve">    (МБОУ «Мирошкинская СОШ»)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b/>
          <w:color w:val="000000"/>
          <w:sz w:val="28"/>
        </w:rPr>
        <w:br/>
        <w:t xml:space="preserve">    Таблица № 1.1. </w:t>
        <w:br/>
        <w:t xml:space="preserve">    Режимы работы ИЗАВ и их временные характеристики </w:t>
        <w:br/>
        <w:t xml:space="preserve">    при нестационарности выбросов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№ ИЗАВ</w:t>
            </w:r>
          </w:p>
        </w:tc>
        <w:tc>
          <w:tcPr>
            <w:tcW w:type="dxa" w:w="5760"/>
            <w:gridSpan w:val="4"/>
          </w:tcPr>
          <w:p>
            <w:r>
              <w:t>Тип ИЗАВ</w:t>
            </w:r>
          </w:p>
        </w:tc>
        <w:tc>
          <w:tcPr>
            <w:tcW w:type="dxa" w:w="1440"/>
            <w:vMerge w:val="restart"/>
          </w:tcPr>
          <w:p>
            <w:r>
              <w:t>N (код) режима ИЗАВ (в зависимости от времени работы ИВ, одинаковый для одновременно работающих ИЗАВ)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Номер ИВ</w:t>
            </w:r>
          </w:p>
        </w:tc>
        <w:tc>
          <w:tcPr>
            <w:tcW w:type="dxa" w:w="1440"/>
          </w:tcPr>
          <w:p>
            <w:r>
              <w:t>Наименование ИВ</w:t>
            </w:r>
          </w:p>
        </w:tc>
        <w:tc>
          <w:tcPr>
            <w:tcW w:type="dxa" w:w="1440"/>
          </w:tcPr>
          <w:p>
            <w:r>
              <w:t>Описание режима работы ИВ</w:t>
            </w:r>
          </w:p>
        </w:tc>
        <w:tc>
          <w:tcPr>
            <w:tcW w:type="dxa" w:w="1440"/>
          </w:tcPr>
          <w:p>
            <w:r>
              <w:t>Время работы ИВ на конкретном режиме за период времени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8640"/>
            <w:gridSpan w:val="6"/>
          </w:tcPr>
          <w:p>
            <w:r>
              <w:t>На предприятии один (основной) режим работы, нестационарности не выявлено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color w:val="000000"/>
          <w:sz w:val="28"/>
        </w:rPr>
        <w:br/>
        <w:t xml:space="preserve">    Таблица № 1.2.</w:t>
        <w:br/>
        <w:t xml:space="preserve">    Характеристика одновременности работы оборудования</w:t>
        <w:br/>
        <w:t xml:space="preserve">    при нестационарных выбросах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Merge w:val="restart"/>
          </w:tcPr>
          <w:p>
            <w:r>
              <w:t>Наименование цеха</w:t>
            </w:r>
          </w:p>
        </w:tc>
        <w:tc>
          <w:tcPr>
            <w:tcW w:type="dxa" w:w="5400"/>
            <w:gridSpan w:val="5"/>
          </w:tcPr>
          <w:p>
            <w:r>
              <w:t>Источники выделения (выброса)</w:t>
            </w:r>
          </w:p>
        </w:tc>
        <w:tc>
          <w:tcPr>
            <w:tcW w:type="dxa" w:w="1080"/>
            <w:vMerge w:val="restart"/>
          </w:tcPr>
          <w:p>
            <w:r>
              <w:t>Коэффициент К0</w:t>
            </w:r>
          </w:p>
        </w:tc>
        <w:tc>
          <w:tcPr>
            <w:tcW w:type="dxa" w:w="1080"/>
            <w:vMerge w:val="restart"/>
          </w:tcPr>
          <w:p>
            <w:r>
              <w:t>Номер ИЗАВ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>№№</w:t>
            </w:r>
          </w:p>
        </w:tc>
        <w:tc>
          <w:tcPr>
            <w:tcW w:type="dxa" w:w="1080"/>
          </w:tcPr>
          <w:p>
            <w:r>
              <w:t>Наименование</w:t>
            </w:r>
          </w:p>
        </w:tc>
        <w:tc>
          <w:tcPr>
            <w:tcW w:type="dxa" w:w="1080"/>
          </w:tcPr>
          <w:p>
            <w:r>
              <w:t>Режим ИВ</w:t>
            </w:r>
          </w:p>
        </w:tc>
        <w:tc>
          <w:tcPr>
            <w:tcW w:type="dxa" w:w="2160"/>
            <w:gridSpan w:val="2"/>
          </w:tcPr>
          <w:p>
            <w:r>
              <w:t>Количество</w:t>
            </w:r>
          </w:p>
        </w:tc>
        <w:tc>
          <w:tcPr>
            <w:tcW w:type="dxa" w:w="1080"/>
            <w:vMerge/>
          </w:tcPr>
          <w:p/>
        </w:tc>
        <w:tc>
          <w:tcPr>
            <w:tcW w:type="dxa" w:w="1080"/>
            <w:vMerge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Всего</w:t>
            </w:r>
          </w:p>
        </w:tc>
        <w:tc>
          <w:tcPr>
            <w:tcW w:type="dxa" w:w="1080"/>
          </w:tcPr>
          <w:p>
            <w:r>
              <w:t>В т.ч. одновременно работающих</w:t>
            </w:r>
          </w:p>
        </w:tc>
        <w:tc>
          <w:tcPr>
            <w:tcW w:type="dxa" w:w="1080"/>
            <w:vMerge/>
          </w:tcPr>
          <w:p/>
        </w:tc>
        <w:tc>
          <w:tcPr>
            <w:tcW w:type="dxa" w:w="1080"/>
            <w:vMerge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color w:val="000000"/>
          <w:sz w:val="28"/>
        </w:rPr>
        <w:br/>
        <w:t xml:space="preserve">    Таблица № 1.3.</w:t>
        <w:br/>
        <w:t xml:space="preserve">    Учет нестационарности выбросов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№</w:t>
            </w:r>
          </w:p>
        </w:tc>
        <w:tc>
          <w:tcPr>
            <w:tcW w:type="dxa" w:w="1728"/>
            <w:vMerge w:val="restart"/>
          </w:tcPr>
          <w:p>
            <w:r>
              <w:t>№ ИЗАВ</w:t>
            </w:r>
          </w:p>
        </w:tc>
        <w:tc>
          <w:tcPr>
            <w:tcW w:type="dxa" w:w="1728"/>
            <w:vMerge w:val="restart"/>
          </w:tcPr>
          <w:p>
            <w:r>
              <w:t>Источник выделения</w:t>
            </w:r>
          </w:p>
        </w:tc>
        <w:tc>
          <w:tcPr>
            <w:tcW w:type="dxa" w:w="1728"/>
            <w:vMerge w:val="restart"/>
          </w:tcPr>
          <w:p>
            <w:r>
              <w:t>Характеристики технологических стадий</w:t>
            </w:r>
          </w:p>
        </w:tc>
        <w:tc>
          <w:tcPr>
            <w:tcW w:type="dxa" w:w="1728"/>
            <w:vMerge w:val="restart"/>
          </w:tcPr>
          <w:p>
            <w:r>
              <w:t>Значения характеристик технологических стадий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Название характеристики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8640"/>
            <w:gridSpan w:val="5"/>
          </w:tcPr>
          <w:p>
            <w:r>
              <w:t>Стадии технологического процесса отсутствуют или не описаны!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