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53" w:rsidRPr="007A4585" w:rsidRDefault="00670F53" w:rsidP="007A4585">
      <w:pPr>
        <w:jc w:val="center"/>
        <w:rPr>
          <w:b/>
          <w:sz w:val="32"/>
          <w:szCs w:val="32"/>
          <w:u w:val="single"/>
        </w:rPr>
      </w:pPr>
      <w:r w:rsidRPr="007A4585">
        <w:rPr>
          <w:b/>
          <w:sz w:val="32"/>
          <w:szCs w:val="32"/>
          <w:u w:val="single"/>
        </w:rPr>
        <w:t>Case Response for Diphtheria</w:t>
      </w:r>
    </w:p>
    <w:p w:rsidR="00670F53" w:rsidRDefault="00670F53" w:rsidP="00670F53">
      <w:r w:rsidRPr="007A4585">
        <w:rPr>
          <w:b/>
        </w:rPr>
        <w:t>Infectious agent:</w:t>
      </w:r>
      <w:r>
        <w:t xml:space="preserve"> </w:t>
      </w:r>
      <w:r>
        <w:tab/>
      </w:r>
      <w:r w:rsidR="00A7052C">
        <w:t xml:space="preserve">Bacterium: </w:t>
      </w:r>
      <w:r w:rsidR="001323FF" w:rsidRPr="00C77C17">
        <w:rPr>
          <w:rStyle w:val="Emphasis"/>
          <w:rFonts w:ascii="Arial" w:hAnsi="Arial" w:cs="Arial"/>
          <w:color w:val="1E1E1E"/>
          <w:sz w:val="20"/>
          <w:szCs w:val="18"/>
          <w:bdr w:val="none" w:sz="0" w:space="0" w:color="auto" w:frame="1"/>
          <w:shd w:val="clear" w:color="auto" w:fill="FFFFFF"/>
        </w:rPr>
        <w:t>Corynebacterium diphtheriae</w:t>
      </w:r>
    </w:p>
    <w:p w:rsidR="00706349" w:rsidRDefault="00670F53" w:rsidP="00706349">
      <w:pPr>
        <w:ind w:left="2160" w:hanging="2160"/>
      </w:pPr>
      <w:r w:rsidRPr="007A4585">
        <w:rPr>
          <w:b/>
        </w:rPr>
        <w:t>Mode of transmission</w:t>
      </w:r>
      <w:r>
        <w:t>:</w:t>
      </w:r>
      <w:r>
        <w:tab/>
      </w:r>
      <w:r w:rsidR="00824571" w:rsidRPr="00824571">
        <w:t>The disease is transmitted from person to person by respiratory droplets or direct contact with respiratory secretions, discharges from skin lesions or, rarely, fomites</w:t>
      </w:r>
      <w:r w:rsidR="00824571">
        <w:t>.</w:t>
      </w:r>
    </w:p>
    <w:p w:rsidR="00670F53" w:rsidRDefault="00670F53" w:rsidP="00706349">
      <w:pPr>
        <w:ind w:left="2160" w:hanging="2160"/>
      </w:pPr>
      <w:r w:rsidRPr="007A4585">
        <w:rPr>
          <w:b/>
        </w:rPr>
        <w:t>Incubation period:</w:t>
      </w:r>
      <w:r>
        <w:tab/>
      </w:r>
      <w:r w:rsidR="00A70DC9">
        <w:rPr>
          <w:rFonts w:ascii="Arial" w:hAnsi="Arial" w:cs="Arial"/>
          <w:b/>
          <w:bCs/>
          <w:color w:val="222222"/>
          <w:shd w:val="clear" w:color="auto" w:fill="FFFFFF"/>
        </w:rPr>
        <w:t xml:space="preserve">2-5 days </w:t>
      </w:r>
      <w:r w:rsidR="00A70DC9" w:rsidRPr="004F3305">
        <w:t>(range, 1-10 days).</w:t>
      </w:r>
    </w:p>
    <w:p w:rsidR="00670F53" w:rsidRDefault="00670F53" w:rsidP="00045E8E">
      <w:pPr>
        <w:ind w:left="2160" w:hanging="2160"/>
      </w:pPr>
      <w:r w:rsidRPr="007A4585">
        <w:rPr>
          <w:b/>
        </w:rPr>
        <w:t>Alert Threshold</w:t>
      </w:r>
      <w:r w:rsidR="00045E8E">
        <w:t>:</w:t>
      </w:r>
      <w:r w:rsidR="00045E8E">
        <w:tab/>
      </w:r>
      <w:r w:rsidR="00045E8E" w:rsidRPr="00045E8E">
        <w:t xml:space="preserve">One probable case </w:t>
      </w:r>
      <w:r>
        <w:t xml:space="preserve">is an alert and requires an </w:t>
      </w:r>
      <w:r w:rsidR="007A4585">
        <w:t>i</w:t>
      </w:r>
      <w:r>
        <w:t>mmediate investigation.</w:t>
      </w:r>
    </w:p>
    <w:p w:rsidR="00670F53" w:rsidRDefault="00670F53" w:rsidP="00670F53">
      <w:r w:rsidRPr="007A4585">
        <w:rPr>
          <w:b/>
        </w:rPr>
        <w:t>Outbreak threshold</w:t>
      </w:r>
      <w:r>
        <w:tab/>
        <w:t>One confirmed case is an outbreak</w:t>
      </w:r>
      <w:r w:rsidR="00A70DC9">
        <w:t>.</w:t>
      </w:r>
    </w:p>
    <w:p w:rsidR="00670F53" w:rsidRDefault="00670F53" w:rsidP="00C95A7E">
      <w:pPr>
        <w:spacing w:after="0"/>
        <w:ind w:left="2160" w:hanging="2160"/>
      </w:pPr>
      <w:r w:rsidRPr="007A4585">
        <w:rPr>
          <w:b/>
          <w:u w:val="single"/>
        </w:rPr>
        <w:t>Case Definition</w:t>
      </w:r>
      <w:r>
        <w:t xml:space="preserve">: 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  <w:gridCol w:w="5441"/>
      </w:tblGrid>
      <w:tr w:rsidR="0035624E" w:rsidTr="003A6272">
        <w:tc>
          <w:tcPr>
            <w:tcW w:w="5553" w:type="dxa"/>
          </w:tcPr>
          <w:p w:rsidR="004E7EA8" w:rsidRDefault="004E7EA8" w:rsidP="000E5082">
            <w:pPr>
              <w:pStyle w:val="CommentText"/>
            </w:pPr>
            <w:r w:rsidRPr="003A6272">
              <w:rPr>
                <w:b/>
              </w:rPr>
              <w:t>Probable Case</w:t>
            </w:r>
            <w:r>
              <w:t xml:space="preserve">: </w:t>
            </w:r>
          </w:p>
          <w:p w:rsidR="000E5082" w:rsidRPr="000E5082" w:rsidRDefault="003A6272" w:rsidP="000E5082">
            <w:pPr>
              <w:pStyle w:val="CommentText"/>
              <w:rPr>
                <w:sz w:val="22"/>
                <w:szCs w:val="22"/>
              </w:rPr>
            </w:pPr>
            <w:r>
              <w:t xml:space="preserve">     </w:t>
            </w:r>
            <w:r w:rsidR="00DA52FC">
              <w:t xml:space="preserve">               </w:t>
            </w:r>
            <w:r w:rsidR="00DA52FC" w:rsidRPr="000E5082">
              <w:rPr>
                <w:sz w:val="22"/>
                <w:szCs w:val="22"/>
              </w:rPr>
              <w:t xml:space="preserve">               </w:t>
            </w:r>
            <w:r w:rsidR="000E5082" w:rsidRPr="000E5082">
              <w:rPr>
                <w:sz w:val="22"/>
                <w:szCs w:val="22"/>
              </w:rPr>
              <w:t>An acute illness characterized by a visible adherent “membrane” on the tonsils, pharynx and/or nose and any one of these:</w:t>
            </w:r>
          </w:p>
          <w:p w:rsidR="000E5082" w:rsidRPr="000E5082" w:rsidRDefault="000E5082" w:rsidP="000E5082">
            <w:pPr>
              <w:pStyle w:val="CommentText"/>
              <w:rPr>
                <w:sz w:val="22"/>
                <w:szCs w:val="22"/>
              </w:rPr>
            </w:pPr>
            <w:r w:rsidRPr="000E5082">
              <w:rPr>
                <w:sz w:val="22"/>
                <w:szCs w:val="22"/>
              </w:rPr>
              <w:t>Laryngitis</w:t>
            </w:r>
          </w:p>
          <w:p w:rsidR="000E5082" w:rsidRPr="000E5082" w:rsidRDefault="000E5082" w:rsidP="000E5082">
            <w:pPr>
              <w:pStyle w:val="CommentText"/>
              <w:rPr>
                <w:sz w:val="22"/>
                <w:szCs w:val="22"/>
              </w:rPr>
            </w:pPr>
            <w:r w:rsidRPr="000E5082">
              <w:rPr>
                <w:sz w:val="22"/>
                <w:szCs w:val="22"/>
              </w:rPr>
              <w:t>Pharyngitis</w:t>
            </w:r>
          </w:p>
          <w:p w:rsidR="003A6272" w:rsidRDefault="000E5082" w:rsidP="003A6272">
            <w:r w:rsidRPr="00C6130E">
              <w:t>Tonsillitis</w:t>
            </w:r>
          </w:p>
          <w:p w:rsidR="003A6272" w:rsidRDefault="003A6272" w:rsidP="003A6272">
            <w:r w:rsidRPr="003A6272">
              <w:rPr>
                <w:b/>
              </w:rPr>
              <w:t>Confirmed Case</w:t>
            </w:r>
            <w:r>
              <w:t xml:space="preserve">: </w:t>
            </w:r>
          </w:p>
          <w:p w:rsidR="000E5082" w:rsidRPr="000E5082" w:rsidRDefault="003A6272" w:rsidP="000E5082">
            <w:pPr>
              <w:pStyle w:val="CommentText"/>
              <w:rPr>
                <w:sz w:val="22"/>
                <w:szCs w:val="22"/>
              </w:rPr>
            </w:pPr>
            <w:r>
              <w:t xml:space="preserve">                              </w:t>
            </w:r>
            <w:r w:rsidR="00DA52FC">
              <w:t xml:space="preserve">      </w:t>
            </w:r>
            <w:r w:rsidR="000E5082" w:rsidRPr="000E5082">
              <w:rPr>
                <w:sz w:val="22"/>
                <w:szCs w:val="22"/>
              </w:rPr>
              <w:t>A confirmed case is a probable case who has been laboratory confirmed or linked epidemiologically to a laboratory confirmed case. At least one of the following criteria is used for diagnosing a confirmed case:</w:t>
            </w:r>
          </w:p>
          <w:p w:rsidR="000E5082" w:rsidRPr="000E5082" w:rsidRDefault="000E5082" w:rsidP="000E5082">
            <w:pPr>
              <w:pStyle w:val="CommentText"/>
              <w:rPr>
                <w:sz w:val="22"/>
                <w:szCs w:val="22"/>
              </w:rPr>
            </w:pPr>
            <w:r w:rsidRPr="000E5082">
              <w:rPr>
                <w:sz w:val="22"/>
                <w:szCs w:val="22"/>
              </w:rPr>
              <w:t>Isolation of Corynebacterium diphtheriae from a clinical specimen; OR</w:t>
            </w:r>
          </w:p>
          <w:p w:rsidR="0035624E" w:rsidRPr="001258D8" w:rsidRDefault="000E5082" w:rsidP="000E5082">
            <w:r w:rsidRPr="00E07145">
              <w:t>PCR assay showing presence of the A and B subunits of the Diphtheria toxin gene (</w:t>
            </w:r>
            <w:proofErr w:type="spellStart"/>
            <w:r w:rsidRPr="00E07145">
              <w:t>tox</w:t>
            </w:r>
            <w:proofErr w:type="spellEnd"/>
            <w:r w:rsidRPr="00E07145">
              <w:t>).</w:t>
            </w:r>
          </w:p>
        </w:tc>
        <w:tc>
          <w:tcPr>
            <w:tcW w:w="5445" w:type="dxa"/>
          </w:tcPr>
          <w:p w:rsidR="0035624E" w:rsidRDefault="00B97DDE" w:rsidP="00C95A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2466340</wp:posOffset>
                      </wp:positionV>
                      <wp:extent cx="3067050" cy="46672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7DDE" w:rsidRPr="00B97DDE" w:rsidRDefault="00B97DDE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888888"/>
                                      <w:sz w:val="20"/>
                                      <w:szCs w:val="20"/>
                                      <w:shd w:val="clear" w:color="auto" w:fill="222222"/>
                                    </w:rPr>
                                    <w:t>Fig</w:t>
                                  </w:r>
                                  <w:r w:rsidR="00821A52">
                                    <w:rPr>
                                      <w:rFonts w:ascii="Arial" w:hAnsi="Arial" w:cs="Arial"/>
                                      <w:color w:val="888888"/>
                                      <w:sz w:val="20"/>
                                      <w:szCs w:val="20"/>
                                      <w:shd w:val="clear" w:color="auto" w:fill="222222"/>
                                    </w:rPr>
                                    <w:t>-I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888888"/>
                                      <w:sz w:val="20"/>
                                      <w:szCs w:val="20"/>
                                      <w:shd w:val="clear" w:color="auto" w:fill="222222"/>
                                    </w:rPr>
                                    <w:t>: D</w:t>
                                  </w:r>
                                  <w:r w:rsidRPr="00B97DDE">
                                    <w:rPr>
                                      <w:rFonts w:ascii="Arial" w:hAnsi="Arial" w:cs="Arial"/>
                                      <w:color w:val="888888"/>
                                      <w:sz w:val="20"/>
                                      <w:szCs w:val="20"/>
                                      <w:shd w:val="clear" w:color="auto" w:fill="222222"/>
                                    </w:rPr>
                                    <w:t xml:space="preserve">irty white </w:t>
                                  </w:r>
                                  <w:proofErr w:type="spellStart"/>
                                  <w:r w:rsidRPr="001A4833">
                                    <w:rPr>
                                      <w:rFonts w:ascii="Arial" w:hAnsi="Arial" w:cs="Arial"/>
                                      <w:color w:val="888888"/>
                                      <w:szCs w:val="20"/>
                                      <w:shd w:val="clear" w:color="auto" w:fill="222222"/>
                                    </w:rPr>
                                    <w:t>pseudomembrane</w:t>
                                  </w:r>
                                  <w:proofErr w:type="spellEnd"/>
                                  <w:r w:rsidRPr="001A4833">
                                    <w:rPr>
                                      <w:rFonts w:ascii="Arial" w:hAnsi="Arial" w:cs="Arial"/>
                                      <w:color w:val="888888"/>
                                      <w:szCs w:val="20"/>
                                      <w:shd w:val="clear" w:color="auto" w:fill="222222"/>
                                    </w:rPr>
                                    <w:t xml:space="preserve"> </w:t>
                                  </w:r>
                                  <w:r w:rsidRPr="00B97DDE">
                                    <w:rPr>
                                      <w:rFonts w:ascii="Arial" w:hAnsi="Arial" w:cs="Arial"/>
                                      <w:color w:val="888888"/>
                                      <w:sz w:val="20"/>
                                      <w:szCs w:val="20"/>
                                      <w:shd w:val="clear" w:color="auto" w:fill="222222"/>
                                    </w:rPr>
                                    <w:t xml:space="preserve">classically seen in </w:t>
                                  </w:r>
                                  <w:r w:rsidRPr="00B97DDE">
                                    <w:rPr>
                                      <w:rFonts w:ascii="Arial" w:hAnsi="Arial" w:cs="Arial"/>
                                      <w:color w:val="888888"/>
                                      <w:szCs w:val="20"/>
                                      <w:shd w:val="clear" w:color="auto" w:fill="222222"/>
                                    </w:rPr>
                                    <w:t>diphtheria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.45pt;margin-top:194.2pt;width:241.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" fillcolor="white [3201]" strokeweight=".5pt">
                      <v:textbox>
                        <w:txbxContent>
                          <w:p w:rsidR="00B97DDE" w:rsidRPr="00B97DDE" w:rsidRDefault="00B97DD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88888"/>
                                <w:sz w:val="20"/>
                                <w:szCs w:val="20"/>
                                <w:shd w:val="clear" w:color="auto" w:fill="222222"/>
                              </w:rPr>
                              <w:t>Fig</w:t>
                            </w:r>
                            <w:r w:rsidR="00821A52">
                              <w:rPr>
                                <w:rFonts w:ascii="Arial" w:hAnsi="Arial" w:cs="Arial"/>
                                <w:color w:val="888888"/>
                                <w:sz w:val="20"/>
                                <w:szCs w:val="20"/>
                                <w:shd w:val="clear" w:color="auto" w:fill="222222"/>
                              </w:rPr>
                              <w:t>-I</w:t>
                            </w:r>
                            <w:r>
                              <w:rPr>
                                <w:rFonts w:ascii="Arial" w:hAnsi="Arial" w:cs="Arial"/>
                                <w:color w:val="888888"/>
                                <w:sz w:val="20"/>
                                <w:szCs w:val="20"/>
                                <w:shd w:val="clear" w:color="auto" w:fill="222222"/>
                              </w:rPr>
                              <w:t>: D</w:t>
                            </w:r>
                            <w:r w:rsidRPr="00B97DDE">
                              <w:rPr>
                                <w:rFonts w:ascii="Arial" w:hAnsi="Arial" w:cs="Arial"/>
                                <w:color w:val="888888"/>
                                <w:sz w:val="20"/>
                                <w:szCs w:val="20"/>
                                <w:shd w:val="clear" w:color="auto" w:fill="222222"/>
                              </w:rPr>
                              <w:t xml:space="preserve">irty white </w:t>
                            </w:r>
                            <w:proofErr w:type="spellStart"/>
                            <w:r w:rsidRPr="001A4833">
                              <w:rPr>
                                <w:rFonts w:ascii="Arial" w:hAnsi="Arial" w:cs="Arial"/>
                                <w:color w:val="888888"/>
                                <w:szCs w:val="20"/>
                                <w:shd w:val="clear" w:color="auto" w:fill="222222"/>
                              </w:rPr>
                              <w:t>pseudomembrane</w:t>
                            </w:r>
                            <w:proofErr w:type="spellEnd"/>
                            <w:r w:rsidRPr="001A4833">
                              <w:rPr>
                                <w:rFonts w:ascii="Arial" w:hAnsi="Arial" w:cs="Arial"/>
                                <w:color w:val="888888"/>
                                <w:szCs w:val="20"/>
                                <w:shd w:val="clear" w:color="auto" w:fill="222222"/>
                              </w:rPr>
                              <w:t xml:space="preserve"> </w:t>
                            </w:r>
                            <w:r w:rsidRPr="00B97DDE">
                              <w:rPr>
                                <w:rFonts w:ascii="Arial" w:hAnsi="Arial" w:cs="Arial"/>
                                <w:color w:val="888888"/>
                                <w:sz w:val="20"/>
                                <w:szCs w:val="20"/>
                                <w:shd w:val="clear" w:color="auto" w:fill="222222"/>
                              </w:rPr>
                              <w:t xml:space="preserve">classically seen in </w:t>
                            </w:r>
                            <w:r w:rsidRPr="00B97DDE">
                              <w:rPr>
                                <w:rFonts w:ascii="Arial" w:hAnsi="Arial" w:cs="Arial"/>
                                <w:color w:val="888888"/>
                                <w:szCs w:val="20"/>
                                <w:shd w:val="clear" w:color="auto" w:fill="222222"/>
                              </w:rPr>
                              <w:t>diphtheria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56A9">
              <w:rPr>
                <w:noProof/>
              </w:rPr>
              <w:drawing>
                <wp:inline distT="0" distB="0" distL="0" distR="0">
                  <wp:extent cx="3067050" cy="2447925"/>
                  <wp:effectExtent l="19050" t="19050" r="19050" b="28575"/>
                  <wp:docPr id="3" name="Picture 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552" cy="24499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2FC" w:rsidRDefault="00670F53" w:rsidP="0035624E">
      <w:pPr>
        <w:pStyle w:val="ListParagraph"/>
        <w:numPr>
          <w:ilvl w:val="0"/>
          <w:numId w:val="5"/>
        </w:numPr>
        <w:ind w:right="-360"/>
      </w:pPr>
      <w:r w:rsidRPr="007A4585">
        <w:rPr>
          <w:b/>
        </w:rPr>
        <w:t>Specimen Collection</w:t>
      </w:r>
      <w:r>
        <w:t>:</w:t>
      </w:r>
      <w:r w:rsidR="0035624E" w:rsidRPr="0035624E">
        <w:t xml:space="preserve"> </w:t>
      </w:r>
    </w:p>
    <w:p w:rsidR="0035624E" w:rsidRDefault="00DA52FC" w:rsidP="00DA52FC">
      <w:pPr>
        <w:pStyle w:val="ListParagraph"/>
        <w:ind w:left="360" w:right="-360"/>
      </w:pPr>
      <w:r>
        <w:rPr>
          <w:b/>
        </w:rPr>
        <w:t xml:space="preserve">                   </w:t>
      </w:r>
      <w:r w:rsidR="0035624E">
        <w:t>Collect nasopharyngeal samples by using alginate swabs or throat culture by cotton swabs or any specific swab/media/tube/stick used for diphtheria in the hospital</w:t>
      </w:r>
      <w:r w:rsidR="0035624E"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37"/>
        <w:gridCol w:w="5326"/>
      </w:tblGrid>
      <w:tr w:rsidR="0035624E" w:rsidTr="001258D8">
        <w:trPr>
          <w:trHeight w:val="3473"/>
        </w:trPr>
        <w:tc>
          <w:tcPr>
            <w:tcW w:w="5580" w:type="dxa"/>
          </w:tcPr>
          <w:p w:rsidR="0035624E" w:rsidRDefault="0035624E" w:rsidP="0035624E">
            <w:pPr>
              <w:pStyle w:val="ListParagraph"/>
              <w:numPr>
                <w:ilvl w:val="0"/>
                <w:numId w:val="5"/>
              </w:numPr>
            </w:pPr>
            <w:r>
              <w:t xml:space="preserve">Pharynx should be clearly visible and well illuminated.                                                                                                                    </w:t>
            </w:r>
          </w:p>
          <w:p w:rsidR="0035624E" w:rsidRDefault="0035624E" w:rsidP="0035624E">
            <w:pPr>
              <w:pStyle w:val="ListParagraph"/>
              <w:numPr>
                <w:ilvl w:val="0"/>
                <w:numId w:val="5"/>
              </w:numPr>
            </w:pPr>
            <w:r>
              <w:t xml:space="preserve">Depress the tongue with a tongue-depressor and swab the throat without touching the tongue or inside the cheeks.              </w:t>
            </w:r>
          </w:p>
          <w:p w:rsidR="0035624E" w:rsidRDefault="0035624E" w:rsidP="0035624E">
            <w:pPr>
              <w:pStyle w:val="ListParagraph"/>
              <w:numPr>
                <w:ilvl w:val="0"/>
                <w:numId w:val="5"/>
              </w:numPr>
            </w:pPr>
            <w:r>
              <w:t xml:space="preserve">Rub vigorously over any membrane, white spots, or inflamed areas; slight pressure with rotating movement must be applied to the swab.                                                                                                                                                                                                  </w:t>
            </w:r>
            <w:r>
              <w:sym w:font="Symbol" w:char="F0B7"/>
            </w:r>
            <w:r>
              <w:t xml:space="preserve"> If any membrane is present, lift the edge and swab beneath it to reach the deeply located organisms.                                                    </w:t>
            </w:r>
          </w:p>
          <w:p w:rsidR="003A6272" w:rsidRDefault="0035624E" w:rsidP="003A6272">
            <w:pPr>
              <w:pStyle w:val="ListParagraph"/>
              <w:numPr>
                <w:ilvl w:val="0"/>
                <w:numId w:val="5"/>
              </w:numPr>
              <w:ind w:right="-360"/>
            </w:pPr>
            <w:r>
              <w:t xml:space="preserve">Place the swab in </w:t>
            </w:r>
            <w:proofErr w:type="spellStart"/>
            <w:r>
              <w:t>Amies</w:t>
            </w:r>
            <w:proofErr w:type="spellEnd"/>
            <w:r>
              <w:t xml:space="preserve"> transport medium and dispatch immediately to the laboratory for culture. </w:t>
            </w:r>
          </w:p>
        </w:tc>
        <w:tc>
          <w:tcPr>
            <w:tcW w:w="5328" w:type="dxa"/>
          </w:tcPr>
          <w:p w:rsidR="0035624E" w:rsidRDefault="0035624E" w:rsidP="00461EF9">
            <w:pPr>
              <w:ind w:right="-360"/>
            </w:pPr>
            <w:r>
              <w:rPr>
                <w:noProof/>
              </w:rPr>
              <w:drawing>
                <wp:inline distT="0" distB="0" distL="0" distR="0" wp14:anchorId="352A2F35" wp14:editId="2E61D40E">
                  <wp:extent cx="3333750" cy="2124075"/>
                  <wp:effectExtent l="0" t="0" r="0" b="9525"/>
                  <wp:docPr id="4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5A7E" w:rsidRPr="00DA52FC" w:rsidRDefault="00DA52FC" w:rsidP="00DA52FC">
      <w:pPr>
        <w:spacing w:line="240" w:lineRule="auto"/>
        <w:rPr>
          <w:b/>
        </w:rPr>
      </w:pPr>
      <w:r w:rsidRPr="007F58F5">
        <w:rPr>
          <w:b/>
        </w:rPr>
        <w:t>Procedure</w:t>
      </w:r>
      <w:r w:rsidR="00C95A7E" w:rsidRPr="007F58F5">
        <w:rPr>
          <w:b/>
        </w:rPr>
        <w:t xml:space="preserve"> for the collection of </w:t>
      </w:r>
      <w:r w:rsidR="003A6272">
        <w:rPr>
          <w:b/>
        </w:rPr>
        <w:t>N</w:t>
      </w:r>
      <w:r w:rsidR="00C95A7E" w:rsidRPr="007F58F5">
        <w:rPr>
          <w:b/>
        </w:rPr>
        <w:t>asopharyngeal swabs</w:t>
      </w:r>
      <w:r w:rsidR="00C95A7E">
        <w:t xml:space="preserve">                                                                                                                    </w:t>
      </w:r>
    </w:p>
    <w:p w:rsidR="00C95A7E" w:rsidRDefault="00C95A7E" w:rsidP="00C95A7E">
      <w:pPr>
        <w:spacing w:after="0"/>
      </w:pPr>
      <w:r>
        <w:sym w:font="Symbol" w:char="F0B7"/>
      </w:r>
      <w:r>
        <w:t xml:space="preserve"> Through one nostril, insert the swab into the nose beyond the anterior nares.                                                                                         </w:t>
      </w:r>
    </w:p>
    <w:p w:rsidR="003A6272" w:rsidRDefault="00C95A7E" w:rsidP="00C95A7E">
      <w:pPr>
        <w:spacing w:after="0"/>
      </w:pPr>
      <w:r>
        <w:sym w:font="Symbol" w:char="F0B7"/>
      </w:r>
      <w:r>
        <w:t xml:space="preserve"> Gently introduce the swab along the floor of the nasal cavity, under the middle turbinate, until the pharyngeal wall is reached.                                                                                                                                                                                                           </w:t>
      </w:r>
    </w:p>
    <w:p w:rsidR="00C95A7E" w:rsidRDefault="00C95A7E" w:rsidP="00C95A7E">
      <w:pPr>
        <w:spacing w:after="0"/>
      </w:pPr>
      <w:r>
        <w:sym w:font="Symbol" w:char="F0B7"/>
      </w:r>
      <w:r>
        <w:t xml:space="preserve"> Force must not be used to overcome any obstruction.                                                                                                                    </w:t>
      </w:r>
    </w:p>
    <w:p w:rsidR="00C95A7E" w:rsidRPr="00DA52FC" w:rsidRDefault="00C95A7E" w:rsidP="00C95A7E">
      <w:pPr>
        <w:spacing w:after="0"/>
      </w:pPr>
      <w:r>
        <w:sym w:font="Symbol" w:char="F0B7"/>
      </w:r>
      <w:r>
        <w:t xml:space="preserve"> Place the swab in </w:t>
      </w:r>
      <w:proofErr w:type="spellStart"/>
      <w:r>
        <w:t>Amies</w:t>
      </w:r>
      <w:proofErr w:type="spellEnd"/>
      <w:r>
        <w:t xml:space="preserve"> transport medium and dispatch immediatel</w:t>
      </w:r>
      <w:r w:rsidR="00DA52FC">
        <w:t>y to the laboratory for culture</w:t>
      </w:r>
    </w:p>
    <w:p w:rsidR="00F6205C" w:rsidRPr="00F6205C" w:rsidRDefault="00F6205C" w:rsidP="00F6205C">
      <w:pPr>
        <w:shd w:val="clear" w:color="auto" w:fill="FFFFFF"/>
        <w:spacing w:after="90" w:line="270" w:lineRule="atLeast"/>
        <w:ind w:right="300"/>
        <w:textAlignment w:val="baseline"/>
        <w:outlineLvl w:val="3"/>
        <w:rPr>
          <w:b/>
        </w:rPr>
      </w:pPr>
      <w:r w:rsidRPr="00F6205C">
        <w:rPr>
          <w:b/>
        </w:rPr>
        <w:t>Laboratory criteria for diagnosis</w:t>
      </w:r>
      <w:r w:rsidR="00A662E8">
        <w:rPr>
          <w:b/>
        </w:rPr>
        <w:t>:</w:t>
      </w:r>
    </w:p>
    <w:p w:rsidR="00F6205C" w:rsidRDefault="00F6205C" w:rsidP="00461EF9">
      <w:pPr>
        <w:pStyle w:val="ListParagraph"/>
        <w:numPr>
          <w:ilvl w:val="0"/>
          <w:numId w:val="1"/>
        </w:numPr>
        <w:shd w:val="clear" w:color="auto" w:fill="FFFFFF"/>
        <w:tabs>
          <w:tab w:val="left" w:pos="2160"/>
        </w:tabs>
        <w:spacing w:after="0"/>
        <w:ind w:right="300"/>
        <w:textAlignment w:val="baseline"/>
      </w:pPr>
      <w:r w:rsidRPr="00F6205C">
        <w:t>Isolation of Corynebacterium diphtheriae from a clinical specimen, or </w:t>
      </w:r>
    </w:p>
    <w:p w:rsidR="00821A52" w:rsidRDefault="00821A52" w:rsidP="004E5FDF">
      <w:pPr>
        <w:ind w:left="2160" w:hanging="2160"/>
        <w:rPr>
          <w:b/>
        </w:rPr>
      </w:pPr>
    </w:p>
    <w:p w:rsidR="00A34122" w:rsidRDefault="00A34122" w:rsidP="004E5FDF">
      <w:pPr>
        <w:ind w:left="2160" w:hanging="2160"/>
        <w:rPr>
          <w:rFonts w:cstheme="minorHAnsi"/>
        </w:rPr>
      </w:pPr>
      <w:r>
        <w:rPr>
          <w:b/>
        </w:rPr>
        <w:lastRenderedPageBreak/>
        <w:t>Population at risk</w:t>
      </w:r>
      <w:r>
        <w:rPr>
          <w:b/>
        </w:rPr>
        <w:tab/>
      </w:r>
      <w:proofErr w:type="gramStart"/>
      <w:r w:rsidR="004E5FDF" w:rsidRPr="0073396B">
        <w:rPr>
          <w:rFonts w:cstheme="minorHAnsi"/>
        </w:rPr>
        <w:t>Those</w:t>
      </w:r>
      <w:proofErr w:type="gramEnd"/>
      <w:r w:rsidR="004E5FDF" w:rsidRPr="0073396B">
        <w:rPr>
          <w:rFonts w:cstheme="minorHAnsi"/>
        </w:rPr>
        <w:t xml:space="preserve"> having close contact with the patient in a household-type setting. This includes those living and/or sleeping in the same household; those such as relatives/friend/students etc. who </w:t>
      </w:r>
      <w:r w:rsidR="004E5FDF">
        <w:rPr>
          <w:rFonts w:cstheme="minorHAnsi"/>
        </w:rPr>
        <w:t>sleep in the same house</w:t>
      </w:r>
      <w:r w:rsidR="004E5FDF" w:rsidRPr="0073396B">
        <w:rPr>
          <w:rFonts w:cstheme="minorHAnsi"/>
        </w:rPr>
        <w:t xml:space="preserve"> or have shared kitchen facilities etc.</w:t>
      </w:r>
    </w:p>
    <w:p w:rsidR="00A34122" w:rsidRDefault="00A34122" w:rsidP="00A34122">
      <w:r>
        <w:t>__________________________________________________________________________________________________</w:t>
      </w:r>
    </w:p>
    <w:p w:rsidR="005827BC" w:rsidRDefault="005827BC" w:rsidP="005827BC">
      <w:pPr>
        <w:shd w:val="clear" w:color="auto" w:fill="FFFFFF" w:themeFill="background1"/>
        <w:spacing w:after="0" w:line="240" w:lineRule="auto"/>
        <w:ind w:left="-630" w:right="-45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B</w:t>
      </w:r>
      <w:r w:rsidRPr="00970A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rief guidelines to investigate and control Diphtheria outbreaks;</w:t>
      </w:r>
    </w:p>
    <w:p w:rsidR="005827BC" w:rsidRPr="00970AC6" w:rsidRDefault="005827BC" w:rsidP="005827BC">
      <w:pPr>
        <w:shd w:val="clear" w:color="auto" w:fill="FFFFFF" w:themeFill="background1"/>
        <w:spacing w:after="0" w:line="240" w:lineRule="auto"/>
        <w:ind w:left="-630" w:right="-45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D47E6" w:rsidRPr="00A654F2" w:rsidRDefault="002D47E6" w:rsidP="002D47E6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 w:rsidRPr="00A654F2">
        <w:rPr>
          <w:b/>
        </w:rPr>
        <w:t>Epidemiological Investigation of probable diphtheria</w:t>
      </w:r>
    </w:p>
    <w:p w:rsidR="002D47E6" w:rsidRDefault="002D47E6" w:rsidP="002D47E6">
      <w:pPr>
        <w:pStyle w:val="ListParagraph"/>
        <w:numPr>
          <w:ilvl w:val="0"/>
          <w:numId w:val="4"/>
        </w:numPr>
        <w:spacing w:after="160" w:line="259" w:lineRule="auto"/>
      </w:pPr>
      <w:r>
        <w:t>Medical Officer</w:t>
      </w:r>
      <w:r w:rsidR="00FF6B20">
        <w:t xml:space="preserve"> with Preventive Out-reach Team (SH&amp;NS, </w:t>
      </w:r>
      <w:r>
        <w:t>Vaccinator</w:t>
      </w:r>
      <w:r w:rsidR="00FF6B20">
        <w:t xml:space="preserve">, LHS, CDCS, SI, </w:t>
      </w:r>
      <w:r>
        <w:t>LHW</w:t>
      </w:r>
      <w:r w:rsidR="00FF6B20">
        <w:t>)</w:t>
      </w:r>
      <w:r>
        <w:t xml:space="preserve"> </w:t>
      </w:r>
    </w:p>
    <w:p w:rsidR="00FF6B20" w:rsidRDefault="00FF6B20" w:rsidP="00FF6B20">
      <w:pPr>
        <w:pStyle w:val="ListParagraph"/>
        <w:numPr>
          <w:ilvl w:val="0"/>
          <w:numId w:val="4"/>
        </w:numPr>
        <w:spacing w:after="160" w:line="259" w:lineRule="auto"/>
      </w:pPr>
      <w:r>
        <w:t>Investigate and examination of the case and identify close contacts</w:t>
      </w:r>
    </w:p>
    <w:p w:rsidR="002D47E6" w:rsidRDefault="002D47E6" w:rsidP="002D47E6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Review of the existing </w:t>
      </w:r>
      <w:r w:rsidR="00FF6B20">
        <w:t xml:space="preserve">outdoor/indoor/emergency </w:t>
      </w:r>
      <w:r>
        <w:t xml:space="preserve">record </w:t>
      </w:r>
      <w:r w:rsidR="00FF6B20">
        <w:t xml:space="preserve">of the hospital </w:t>
      </w:r>
      <w:r>
        <w:t>and Data Collection</w:t>
      </w:r>
    </w:p>
    <w:p w:rsidR="002D47E6" w:rsidRDefault="00FF6B20" w:rsidP="002D47E6">
      <w:pPr>
        <w:pStyle w:val="ListParagraph"/>
        <w:numPr>
          <w:ilvl w:val="0"/>
          <w:numId w:val="4"/>
        </w:numPr>
        <w:spacing w:after="160" w:line="259" w:lineRule="auto"/>
      </w:pPr>
      <w:r>
        <w:t>Desk review (Pentavalent-I, II &amp; III coverage analysis in this UC)</w:t>
      </w:r>
    </w:p>
    <w:p w:rsidR="002D47E6" w:rsidRDefault="002D47E6" w:rsidP="00FF6B20">
      <w:pPr>
        <w:pStyle w:val="ListParagraph"/>
        <w:numPr>
          <w:ilvl w:val="0"/>
          <w:numId w:val="4"/>
        </w:numPr>
        <w:spacing w:after="160" w:line="259" w:lineRule="auto"/>
      </w:pPr>
      <w:r>
        <w:t>30 H-H cluster for active case search and RI status</w:t>
      </w:r>
    </w:p>
    <w:p w:rsidR="002D47E6" w:rsidRDefault="002D47E6" w:rsidP="00FF6B20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If you found case, then again 30 H-H cluster in surrounding area </w:t>
      </w:r>
    </w:p>
    <w:p w:rsidR="002D47E6" w:rsidRDefault="002D47E6" w:rsidP="00FF6B20">
      <w:pPr>
        <w:pStyle w:val="ListParagraph"/>
        <w:numPr>
          <w:ilvl w:val="0"/>
          <w:numId w:val="4"/>
        </w:numPr>
        <w:spacing w:after="160" w:line="259" w:lineRule="auto"/>
      </w:pPr>
      <w:r>
        <w:t>School visit of area to probe for similar cases</w:t>
      </w:r>
    </w:p>
    <w:p w:rsidR="00FF6B20" w:rsidRPr="000C427C" w:rsidRDefault="00FF6B20" w:rsidP="000C427C">
      <w:pPr>
        <w:pStyle w:val="ListParagraph"/>
        <w:numPr>
          <w:ilvl w:val="0"/>
          <w:numId w:val="4"/>
        </w:numPr>
        <w:spacing w:after="160" w:line="259" w:lineRule="auto"/>
      </w:pPr>
      <w:r w:rsidRPr="000C427C">
        <w:t>Epidemiological existence / confirmation and verification of Outbreak</w:t>
      </w:r>
    </w:p>
    <w:p w:rsidR="002D47E6" w:rsidRDefault="002D47E6" w:rsidP="00FF6B20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Sampling of at least 5 case having signs and symptoms of Diphtheria </w:t>
      </w:r>
    </w:p>
    <w:p w:rsidR="002D47E6" w:rsidRDefault="002D47E6" w:rsidP="00FF6B20">
      <w:pPr>
        <w:pStyle w:val="ListParagraph"/>
        <w:numPr>
          <w:ilvl w:val="0"/>
          <w:numId w:val="4"/>
        </w:numPr>
        <w:spacing w:after="160" w:line="259" w:lineRule="auto"/>
      </w:pPr>
      <w:r>
        <w:t>Health seeking behavior of community and risk factors</w:t>
      </w:r>
    </w:p>
    <w:p w:rsidR="002D47E6" w:rsidRDefault="002D47E6" w:rsidP="00FF6B20">
      <w:pPr>
        <w:pStyle w:val="ListParagraph"/>
        <w:numPr>
          <w:ilvl w:val="0"/>
          <w:numId w:val="4"/>
        </w:numPr>
        <w:spacing w:after="160" w:line="259" w:lineRule="auto"/>
      </w:pPr>
      <w:r>
        <w:t>Identify high risk population</w:t>
      </w:r>
    </w:p>
    <w:p w:rsidR="002D47E6" w:rsidRDefault="002D47E6" w:rsidP="00FF6B20">
      <w:pPr>
        <w:pStyle w:val="ListParagraph"/>
        <w:numPr>
          <w:ilvl w:val="0"/>
          <w:numId w:val="4"/>
        </w:numPr>
        <w:spacing w:after="160" w:line="259" w:lineRule="auto"/>
      </w:pPr>
      <w:r>
        <w:t>Interaction with Community influencers and Local GPs</w:t>
      </w:r>
    </w:p>
    <w:p w:rsidR="002D47E6" w:rsidRDefault="002D47E6" w:rsidP="002D47E6">
      <w:pPr>
        <w:pStyle w:val="ListParagraph"/>
        <w:numPr>
          <w:ilvl w:val="0"/>
          <w:numId w:val="4"/>
        </w:numPr>
        <w:spacing w:after="160" w:line="259" w:lineRule="auto"/>
      </w:pPr>
      <w:r w:rsidRPr="000C427C">
        <w:t xml:space="preserve">Recommendations for control measures </w:t>
      </w:r>
    </w:p>
    <w:p w:rsidR="00314332" w:rsidRPr="000C427C" w:rsidRDefault="00314332" w:rsidP="002D47E6">
      <w:pPr>
        <w:pStyle w:val="ListParagraph"/>
        <w:numPr>
          <w:ilvl w:val="0"/>
          <w:numId w:val="4"/>
        </w:numPr>
        <w:spacing w:after="160" w:line="259" w:lineRule="auto"/>
      </w:pPr>
      <w:r>
        <w:t>Final report should have CIF, Penta Coverage analysis, 30 H-H Cluster &amp; Case response report</w:t>
      </w:r>
    </w:p>
    <w:p w:rsidR="002D47E6" w:rsidRPr="00876482" w:rsidRDefault="005803F0" w:rsidP="002D47E6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>
        <w:rPr>
          <w:b/>
        </w:rPr>
        <w:t>Case Response</w:t>
      </w:r>
      <w:r w:rsidR="002D47E6" w:rsidRPr="00876482">
        <w:rPr>
          <w:b/>
        </w:rPr>
        <w:t xml:space="preserve"> activity</w:t>
      </w:r>
    </w:p>
    <w:p w:rsidR="002D47E6" w:rsidRPr="00504CA8" w:rsidRDefault="002D47E6" w:rsidP="002D47E6">
      <w:pPr>
        <w:pStyle w:val="ListParagraph"/>
        <w:numPr>
          <w:ilvl w:val="0"/>
          <w:numId w:val="3"/>
        </w:numPr>
        <w:spacing w:after="160" w:line="259" w:lineRule="auto"/>
      </w:pPr>
      <w:r w:rsidRPr="00504CA8">
        <w:t>40 houses in the surrounding of Diphtheria case (Urban)</w:t>
      </w:r>
    </w:p>
    <w:p w:rsidR="002D47E6" w:rsidRPr="00504CA8" w:rsidRDefault="002D47E6" w:rsidP="002D47E6">
      <w:pPr>
        <w:pStyle w:val="ListParagraph"/>
        <w:numPr>
          <w:ilvl w:val="0"/>
          <w:numId w:val="3"/>
        </w:numPr>
        <w:spacing w:after="160" w:line="259" w:lineRule="auto"/>
      </w:pPr>
      <w:r w:rsidRPr="00504CA8">
        <w:t>Whole Village if small and 40 houses if large (Rural)</w:t>
      </w:r>
    </w:p>
    <w:p w:rsidR="002D47E6" w:rsidRPr="00504CA8" w:rsidRDefault="002D47E6" w:rsidP="002D47E6">
      <w:pPr>
        <w:pStyle w:val="ListParagraph"/>
        <w:numPr>
          <w:ilvl w:val="0"/>
          <w:numId w:val="2"/>
        </w:numPr>
        <w:spacing w:after="160" w:line="259" w:lineRule="auto"/>
      </w:pPr>
      <w:r w:rsidRPr="00504CA8">
        <w:t xml:space="preserve">All due and defaulter children should be covered for Penta </w:t>
      </w:r>
      <w:r w:rsidR="005803F0" w:rsidRPr="00504CA8">
        <w:t>I, II &amp; III</w:t>
      </w:r>
      <w:r w:rsidRPr="00504CA8">
        <w:t xml:space="preserve"> less than 0</w:t>
      </w:r>
      <w:r w:rsidR="00ED722F" w:rsidRPr="00504CA8">
        <w:t>2</w:t>
      </w:r>
      <w:r w:rsidRPr="00504CA8">
        <w:t xml:space="preserve"> years of age.</w:t>
      </w:r>
    </w:p>
    <w:p w:rsidR="002D47E6" w:rsidRDefault="002D47E6" w:rsidP="002D47E6">
      <w:pPr>
        <w:pStyle w:val="ListParagraph"/>
        <w:numPr>
          <w:ilvl w:val="0"/>
          <w:numId w:val="2"/>
        </w:numPr>
        <w:spacing w:after="160" w:line="259" w:lineRule="auto"/>
      </w:pPr>
      <w:r w:rsidRPr="00504CA8">
        <w:t xml:space="preserve">A single dose of </w:t>
      </w:r>
      <w:proofErr w:type="gramStart"/>
      <w:r w:rsidR="004232E7" w:rsidRPr="00504CA8">
        <w:t>Pentav</w:t>
      </w:r>
      <w:r w:rsidR="00441D89" w:rsidRPr="00504CA8">
        <w:t>alent</w:t>
      </w:r>
      <w:proofErr w:type="gramEnd"/>
      <w:r w:rsidRPr="00504CA8">
        <w:t xml:space="preserve"> vaccine to children age </w:t>
      </w:r>
      <w:r w:rsidR="00441D89" w:rsidRPr="00504CA8">
        <w:t>between 2 to</w:t>
      </w:r>
      <w:r w:rsidRPr="00504CA8">
        <w:t xml:space="preserve"> 5 years</w:t>
      </w:r>
      <w:r w:rsidR="00A5417E">
        <w:t>, followed by a 2</w:t>
      </w:r>
      <w:r w:rsidR="00A5417E" w:rsidRPr="00A5417E">
        <w:rPr>
          <w:vertAlign w:val="superscript"/>
        </w:rPr>
        <w:t>nd</w:t>
      </w:r>
      <w:r w:rsidR="00A5417E">
        <w:t xml:space="preserve"> doses after 28 days.</w:t>
      </w:r>
    </w:p>
    <w:p w:rsidR="00A5417E" w:rsidRPr="00504CA8" w:rsidRDefault="00A5417E" w:rsidP="002D47E6">
      <w:pPr>
        <w:pStyle w:val="ListParagraph"/>
        <w:numPr>
          <w:ilvl w:val="0"/>
          <w:numId w:val="2"/>
        </w:numPr>
        <w:spacing w:after="160" w:line="259" w:lineRule="auto"/>
      </w:pPr>
      <w:r>
        <w:t>Give two doses of Td vaccine to close contacts, age higher than 5 years of probable or confirmed case. Duration between the doses should be at least 28 days.</w:t>
      </w:r>
    </w:p>
    <w:p w:rsidR="002D47E6" w:rsidRPr="00504CA8" w:rsidRDefault="002D47E6" w:rsidP="002D47E6">
      <w:pPr>
        <w:pStyle w:val="ListParagraph"/>
        <w:numPr>
          <w:ilvl w:val="0"/>
          <w:numId w:val="2"/>
        </w:numPr>
        <w:spacing w:after="160" w:line="259" w:lineRule="auto"/>
      </w:pPr>
      <w:r w:rsidRPr="00504CA8">
        <w:t>Prophylactic dose of antibiotic (Oral Erythromycin) to close contacts of up to 15 years for 7-10 days  with monitoring for signs and symptoms for at least 7 days.</w:t>
      </w:r>
    </w:p>
    <w:p w:rsidR="002D47E6" w:rsidRDefault="002D47E6" w:rsidP="002D47E6">
      <w:pPr>
        <w:pStyle w:val="ListParagraph"/>
        <w:numPr>
          <w:ilvl w:val="0"/>
          <w:numId w:val="2"/>
        </w:numPr>
        <w:spacing w:after="160" w:line="259" w:lineRule="auto"/>
      </w:pPr>
      <w:r w:rsidRPr="00504CA8">
        <w:t>Report Generation</w:t>
      </w:r>
      <w:r>
        <w:t xml:space="preserve"> and di</w:t>
      </w:r>
      <w:r w:rsidR="00A5417E">
        <w:t>ssemination of information to all concern.</w:t>
      </w:r>
    </w:p>
    <w:p w:rsidR="005827BC" w:rsidRPr="00BB153A" w:rsidRDefault="00BB153A" w:rsidP="00E74A61">
      <w:pPr>
        <w:shd w:val="clear" w:color="auto" w:fill="FFFFFF" w:themeFill="background1"/>
        <w:spacing w:after="0" w:line="240" w:lineRule="auto"/>
        <w:ind w:left="360" w:right="465"/>
        <w:rPr>
          <w:b/>
        </w:rPr>
      </w:pPr>
      <w:r>
        <w:rPr>
          <w:b/>
        </w:rPr>
        <w:t xml:space="preserve">7.    </w:t>
      </w:r>
      <w:r w:rsidR="005827BC" w:rsidRPr="00BB153A">
        <w:rPr>
          <w:b/>
        </w:rPr>
        <w:t xml:space="preserve">Follow-up: </w:t>
      </w:r>
    </w:p>
    <w:p w:rsidR="005827BC" w:rsidRPr="00BB153A" w:rsidRDefault="005827BC" w:rsidP="00E74A61">
      <w:pPr>
        <w:pStyle w:val="ListParagraph"/>
        <w:spacing w:after="0" w:line="240" w:lineRule="auto"/>
      </w:pPr>
      <w:r w:rsidRPr="00BB153A">
        <w:t>All outbreaks need follow up visit after 30 days to confirm whether the outbreak has subsided or continue.</w:t>
      </w:r>
    </w:p>
    <w:p w:rsidR="00551CE2" w:rsidRPr="0073396B" w:rsidRDefault="00E21166" w:rsidP="0071694D">
      <w:pPr>
        <w:ind w:left="-180" w:right="-450" w:hanging="27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429500" cy="1924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3A6272" w:rsidRDefault="003A6272" w:rsidP="003A6272">
      <w:pPr>
        <w:ind w:left="2160" w:hanging="2160"/>
        <w:jc w:val="right"/>
        <w:rPr>
          <w:b/>
        </w:rPr>
      </w:pPr>
      <w:r>
        <w:rPr>
          <w:b/>
        </w:rPr>
        <w:t>Annexure</w:t>
      </w:r>
      <w:r w:rsidR="00DA52FC">
        <w:rPr>
          <w:b/>
        </w:rPr>
        <w:t>-1</w:t>
      </w:r>
    </w:p>
    <w:p w:rsidR="001000C2" w:rsidRDefault="003A6272" w:rsidP="003A6272">
      <w:pPr>
        <w:spacing w:after="0"/>
      </w:pPr>
      <w:r w:rsidRPr="007A4585">
        <w:rPr>
          <w:b/>
          <w:u w:val="single"/>
        </w:rPr>
        <w:t>Case Management</w:t>
      </w:r>
      <w:r>
        <w:t>:</w:t>
      </w:r>
    </w:p>
    <w:p w:rsidR="003A6272" w:rsidRDefault="003A6272" w:rsidP="003A6272">
      <w:pPr>
        <w:spacing w:after="0"/>
      </w:pPr>
      <w:r>
        <w:tab/>
      </w:r>
    </w:p>
    <w:p w:rsidR="003A6272" w:rsidRDefault="003A6272" w:rsidP="003A6272">
      <w:pPr>
        <w:spacing w:after="0"/>
      </w:pPr>
      <w:r w:rsidRPr="005F2759">
        <w:rPr>
          <w:b/>
          <w:u w:val="single"/>
        </w:rPr>
        <w:t>Patients:</w:t>
      </w:r>
      <w:r>
        <w:tab/>
      </w:r>
      <w:r>
        <w:tab/>
        <w:t>Do not wait for laboratory results before starting treatment/control activities.</w:t>
      </w:r>
    </w:p>
    <w:p w:rsidR="003A6272" w:rsidRDefault="003A6272" w:rsidP="003A6272">
      <w:pPr>
        <w:spacing w:after="0"/>
      </w:pPr>
    </w:p>
    <w:p w:rsidR="003A6272" w:rsidRPr="00970AC6" w:rsidRDefault="003A6272" w:rsidP="001000C2">
      <w:pPr>
        <w:shd w:val="clear" w:color="auto" w:fill="FFFFFF" w:themeFill="background1"/>
        <w:spacing w:after="0"/>
        <w:ind w:left="2160" w:right="465" w:hanging="2160"/>
        <w:rPr>
          <w:rFonts w:ascii="Times New Roman" w:eastAsia="Times New Roman" w:hAnsi="Times New Roman" w:cs="Times New Roman"/>
          <w:bCs/>
          <w:color w:val="000000" w:themeColor="text1"/>
        </w:rPr>
      </w:pPr>
      <w:r w:rsidRPr="00E8636E">
        <w:rPr>
          <w:b/>
        </w:rPr>
        <w:t>Diphtheria antitoxin</w:t>
      </w:r>
      <w:r>
        <w:rPr>
          <w:b/>
        </w:rPr>
        <w:t>:</w:t>
      </w:r>
      <w:r>
        <w:t xml:space="preserve">      </w:t>
      </w:r>
      <w:r w:rsidRPr="00C01A56">
        <w:t>WHO recommend the following schedule for Anti Diphtheria Toxin (ADS)</w:t>
      </w:r>
    </w:p>
    <w:p w:rsidR="003A6272" w:rsidRPr="00044B72" w:rsidRDefault="003A6272" w:rsidP="001000C2">
      <w:pPr>
        <w:shd w:val="clear" w:color="auto" w:fill="FFFFFF" w:themeFill="background1"/>
        <w:spacing w:after="0"/>
        <w:ind w:left="2160" w:right="465"/>
      </w:pPr>
      <w:r w:rsidRPr="00044B72">
        <w:lastRenderedPageBreak/>
        <w:t>a. For mild cases with laryngeal or pharyngeal disease, 20,000 - 40,000 IU</w:t>
      </w:r>
    </w:p>
    <w:p w:rsidR="003A6272" w:rsidRPr="00044B72" w:rsidRDefault="003A6272" w:rsidP="001000C2">
      <w:pPr>
        <w:shd w:val="clear" w:color="auto" w:fill="FFFFFF" w:themeFill="background1"/>
        <w:spacing w:after="0"/>
        <w:ind w:left="2160" w:right="465"/>
      </w:pPr>
      <w:r w:rsidRPr="00044B72">
        <w:t>b. For moderate nasopharyngeal disease, 40,000 - 60,000 IU</w:t>
      </w:r>
    </w:p>
    <w:p w:rsidR="003A6272" w:rsidRPr="00044B72" w:rsidRDefault="003A6272" w:rsidP="001000C2">
      <w:pPr>
        <w:shd w:val="clear" w:color="auto" w:fill="FFFFFF" w:themeFill="background1"/>
        <w:spacing w:after="0"/>
        <w:ind w:left="2160" w:right="465"/>
      </w:pPr>
      <w:r w:rsidRPr="00044B72">
        <w:t>c. For severe extensive or late cases 60,000 - 80,000 IU</w:t>
      </w:r>
    </w:p>
    <w:p w:rsidR="003A6272" w:rsidRDefault="003A6272" w:rsidP="001000C2">
      <w:pPr>
        <w:shd w:val="clear" w:color="auto" w:fill="FFFFFF" w:themeFill="background1"/>
        <w:spacing w:after="0"/>
        <w:ind w:right="465"/>
      </w:pPr>
      <w:r w:rsidRPr="00044B72">
        <w:t xml:space="preserve">                                      </w:t>
      </w:r>
      <w:r>
        <w:t xml:space="preserve">    </w:t>
      </w:r>
      <w:r w:rsidRPr="00044B72">
        <w:t xml:space="preserve"> d. Removal of membrane to prevent airway obstruction.</w:t>
      </w:r>
    </w:p>
    <w:p w:rsidR="001000C2" w:rsidRPr="00044B72" w:rsidRDefault="001000C2" w:rsidP="003A6272">
      <w:pPr>
        <w:shd w:val="clear" w:color="auto" w:fill="FFFFFF" w:themeFill="background1"/>
        <w:spacing w:after="0" w:line="240" w:lineRule="auto"/>
        <w:ind w:right="465"/>
      </w:pPr>
    </w:p>
    <w:p w:rsidR="003A6272" w:rsidRPr="00C01A56" w:rsidRDefault="003A6272" w:rsidP="003A6272">
      <w:pPr>
        <w:shd w:val="clear" w:color="auto" w:fill="FFFFFF" w:themeFill="background1"/>
        <w:spacing w:after="0" w:line="240" w:lineRule="auto"/>
        <w:ind w:right="465"/>
      </w:pPr>
      <w:r w:rsidRPr="00E8636E">
        <w:rPr>
          <w:b/>
        </w:rPr>
        <w:t>Antibiotics:</w:t>
      </w:r>
      <w:r>
        <w:t xml:space="preserve">                      </w:t>
      </w:r>
      <w:r w:rsidRPr="00044B72">
        <w:t>e.</w:t>
      </w:r>
      <w:r w:rsidRPr="00C01A56">
        <w:t xml:space="preserve"> </w:t>
      </w:r>
      <w:r w:rsidRPr="00044B72">
        <w:t>Penicillin 250 mg orally 6 hourly or Erythromycin 500 mg orally 6 hourly for 7-14 days.</w:t>
      </w:r>
    </w:p>
    <w:p w:rsidR="003A6272" w:rsidRPr="00811CEB" w:rsidRDefault="003A6272" w:rsidP="003A6272">
      <w:pPr>
        <w:shd w:val="clear" w:color="auto" w:fill="FFFFFF" w:themeFill="background1"/>
        <w:spacing w:after="0" w:line="240" w:lineRule="auto"/>
        <w:ind w:right="465"/>
        <w:rPr>
          <w:rFonts w:ascii="Times New Roman" w:eastAsia="Times New Roman" w:hAnsi="Times New Roman" w:cs="Times New Roman"/>
          <w:bCs/>
          <w:color w:val="000000" w:themeColor="text1"/>
        </w:rPr>
      </w:pPr>
    </w:p>
    <w:p w:rsidR="003A6272" w:rsidRDefault="003A6272" w:rsidP="003A6272">
      <w:pPr>
        <w:ind w:left="2160" w:hanging="2160"/>
      </w:pPr>
      <w:r w:rsidRPr="00E8636E">
        <w:rPr>
          <w:b/>
        </w:rPr>
        <w:t>Vaccination</w:t>
      </w:r>
      <w:r w:rsidRPr="00C01A56">
        <w:rPr>
          <w:b/>
        </w:rPr>
        <w:t>:</w:t>
      </w:r>
      <w:r>
        <w:t xml:space="preserve">                     Clinical diphtheria does not necessarily confer natural immunity, and patients should thus be           vaccinated before discharge from a health facility with either primary or booster doses. </w:t>
      </w:r>
    </w:p>
    <w:p w:rsidR="003A6272" w:rsidRPr="00811CEB" w:rsidRDefault="003A6272" w:rsidP="001000C2">
      <w:pPr>
        <w:shd w:val="clear" w:color="auto" w:fill="FFFFFF" w:themeFill="background1"/>
        <w:spacing w:after="0"/>
        <w:ind w:left="2160" w:right="465" w:hanging="2160"/>
      </w:pPr>
      <w:r w:rsidRPr="00C01A56">
        <w:rPr>
          <w:b/>
          <w:u w:val="single"/>
        </w:rPr>
        <w:t>Contacts:</w:t>
      </w:r>
      <w:r w:rsidRPr="00970AC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      </w:t>
      </w:r>
      <w:r w:rsidRPr="00C01A56">
        <w:t>a</w:t>
      </w:r>
      <w:r w:rsidRPr="00811CEB">
        <w:t>. All close contacts regardless of vaccination history should have nose or throat culture.</w:t>
      </w:r>
    </w:p>
    <w:p w:rsidR="003A6272" w:rsidRDefault="003A6272" w:rsidP="001000C2">
      <w:pPr>
        <w:shd w:val="clear" w:color="auto" w:fill="FFFFFF" w:themeFill="background1"/>
        <w:spacing w:after="0"/>
        <w:ind w:left="2160" w:right="465"/>
      </w:pPr>
      <w:r w:rsidRPr="00811CEB">
        <w:t>b. One dose of Benzathine Penicillin IM (600,000 Units for &lt;6 years and 1.2 million units for 6 years and above) or a 7-10 days’ course of Erythromycin orally.</w:t>
      </w:r>
    </w:p>
    <w:p w:rsidR="003A6272" w:rsidRPr="00C01A56" w:rsidRDefault="003A6272" w:rsidP="001000C2">
      <w:pPr>
        <w:shd w:val="clear" w:color="auto" w:fill="FFFFFF" w:themeFill="background1"/>
        <w:spacing w:after="0"/>
        <w:ind w:left="2160" w:right="465"/>
      </w:pPr>
      <w:r>
        <w:t xml:space="preserve">c. </w:t>
      </w:r>
      <w:r w:rsidRPr="00C01A56">
        <w:t>If culture of contact is positive and person is symptomatic, admit him/her to the hospital and treat as positive case.</w:t>
      </w:r>
    </w:p>
    <w:p w:rsidR="003A6272" w:rsidRDefault="003A6272" w:rsidP="001000C2">
      <w:pPr>
        <w:shd w:val="clear" w:color="auto" w:fill="FFFFFF" w:themeFill="background1"/>
        <w:spacing w:after="0"/>
        <w:ind w:left="2160" w:right="465"/>
      </w:pPr>
      <w:r>
        <w:t xml:space="preserve">d. </w:t>
      </w:r>
      <w:r w:rsidRPr="00C01A56">
        <w:t>If culture is positive and the case is asymptomatic treat the case as carrier.</w:t>
      </w:r>
    </w:p>
    <w:p w:rsidR="003A6272" w:rsidRPr="00811CEB" w:rsidRDefault="003A6272" w:rsidP="003A6272">
      <w:pPr>
        <w:shd w:val="clear" w:color="auto" w:fill="FFFFFF" w:themeFill="background1"/>
        <w:spacing w:after="0" w:line="240" w:lineRule="auto"/>
        <w:ind w:left="2160" w:right="465"/>
      </w:pPr>
    </w:p>
    <w:p w:rsidR="003A6272" w:rsidRDefault="003A6272" w:rsidP="003A6272">
      <w:pPr>
        <w:shd w:val="clear" w:color="auto" w:fill="FFFFFF" w:themeFill="background1"/>
        <w:spacing w:after="0" w:line="240" w:lineRule="auto"/>
        <w:ind w:left="2160" w:right="465" w:hanging="2160"/>
        <w:rPr>
          <w:rFonts w:ascii="Times New Roman" w:eastAsia="Times New Roman" w:hAnsi="Times New Roman" w:cs="Times New Roman"/>
          <w:bCs/>
          <w:color w:val="000000" w:themeColor="text1"/>
        </w:rPr>
      </w:pPr>
      <w:r w:rsidRPr="00573F03">
        <w:rPr>
          <w:b/>
        </w:rPr>
        <w:t>Carrier treatment: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</w:t>
      </w:r>
      <w:r w:rsidR="001000C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 w:rsidRPr="00970AC6">
        <w:rPr>
          <w:rFonts w:ascii="Times New Roman" w:eastAsia="Times New Roman" w:hAnsi="Times New Roman" w:cs="Times New Roman"/>
          <w:bCs/>
          <w:color w:val="000000" w:themeColor="text1"/>
        </w:rPr>
        <w:t xml:space="preserve">Give single dose of Benzathine Penicillin G (600,000 Units for &lt;6 years and 1.2 million units for 6 years and above). </w:t>
      </w:r>
    </w:p>
    <w:p w:rsidR="003A6272" w:rsidRDefault="003A6272" w:rsidP="003A6272">
      <w:pPr>
        <w:shd w:val="clear" w:color="auto" w:fill="FFFFFF" w:themeFill="background1"/>
        <w:spacing w:after="0" w:line="240" w:lineRule="auto"/>
        <w:ind w:left="2160" w:right="465" w:hanging="2160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                       </w:t>
      </w:r>
      <w:r w:rsidRPr="00970AC6">
        <w:rPr>
          <w:rFonts w:ascii="Times New Roman" w:eastAsia="Times New Roman" w:hAnsi="Times New Roman" w:cs="Times New Roman"/>
          <w:bCs/>
          <w:color w:val="000000" w:themeColor="text1"/>
        </w:rPr>
        <w:t>If allergic to penicillin, give erythromycin (40-50 mg/kg/day) in divided doses for 14 days.</w:t>
      </w:r>
    </w:p>
    <w:p w:rsidR="003A6272" w:rsidRDefault="003A6272" w:rsidP="003A6272">
      <w:pPr>
        <w:shd w:val="clear" w:color="auto" w:fill="FFFFFF" w:themeFill="background1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3A6272" w:rsidRPr="004F3305" w:rsidRDefault="003A6272" w:rsidP="001000C2">
      <w:pPr>
        <w:shd w:val="clear" w:color="auto" w:fill="FFFFFF" w:themeFill="background1"/>
        <w:spacing w:after="0"/>
        <w:ind w:left="2070" w:right="465" w:hanging="2070"/>
      </w:pPr>
      <w:r w:rsidRPr="00573F03">
        <w:rPr>
          <w:b/>
        </w:rPr>
        <w:t>Prevention: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  </w:t>
      </w:r>
      <w:r w:rsidRPr="004F3305">
        <w:t>a. Contacts and children (age 45 days to 4 years) in the area of outbreak who are unimmunized or partially immunized should be given 3 doses or complete the vaccination schedule (each dose 4 weeks apart) with Pentavalent vaccine.</w:t>
      </w:r>
    </w:p>
    <w:p w:rsidR="003A6272" w:rsidRPr="004F3305" w:rsidRDefault="003A6272" w:rsidP="001000C2">
      <w:pPr>
        <w:shd w:val="clear" w:color="auto" w:fill="FFFFFF" w:themeFill="background1"/>
        <w:spacing w:after="0"/>
        <w:ind w:left="2070" w:right="465"/>
      </w:pPr>
      <w:r w:rsidRPr="004F3305">
        <w:t>b. Children above 4 years and adults should receive 3 doses of Td vaccine (currently not available with the program) as per following schedule;</w:t>
      </w:r>
    </w:p>
    <w:p w:rsidR="003A6272" w:rsidRPr="004F3305" w:rsidRDefault="003A6272" w:rsidP="001000C2">
      <w:pPr>
        <w:shd w:val="clear" w:color="auto" w:fill="FFFFFF" w:themeFill="background1"/>
        <w:spacing w:after="0"/>
        <w:ind w:left="2070" w:right="465"/>
      </w:pPr>
      <w:r w:rsidRPr="004F3305">
        <w:t>1st dose on first contact, 2nd dose after 2 months and 3rd dose after 6-12 months.</w:t>
      </w:r>
    </w:p>
    <w:p w:rsidR="003A6272" w:rsidRPr="00970AC6" w:rsidRDefault="003A6272" w:rsidP="003A6272">
      <w:pPr>
        <w:shd w:val="clear" w:color="auto" w:fill="FFFFFF" w:themeFill="background1"/>
        <w:spacing w:after="0" w:line="240" w:lineRule="auto"/>
        <w:ind w:left="2160" w:right="465" w:hanging="2160"/>
        <w:rPr>
          <w:rFonts w:ascii="Times New Roman" w:eastAsia="Times New Roman" w:hAnsi="Times New Roman" w:cs="Times New Roman"/>
          <w:bCs/>
          <w:color w:val="000000" w:themeColor="text1"/>
        </w:rPr>
      </w:pPr>
    </w:p>
    <w:p w:rsidR="003A6272" w:rsidRDefault="003A6272" w:rsidP="001000C2">
      <w:pPr>
        <w:ind w:left="2160" w:hanging="2160"/>
      </w:pPr>
      <w:r w:rsidRPr="007F58F5">
        <w:rPr>
          <w:b/>
        </w:rPr>
        <w:t>Supportive care</w:t>
      </w:r>
      <w:r>
        <w:rPr>
          <w:b/>
        </w:rPr>
        <w:t xml:space="preserve">:             </w:t>
      </w:r>
      <w:r>
        <w:t xml:space="preserve">Refer all probable or confirmed diphtheria cases for specialist assessment by a pediatrician or ENT surgeon. Patients with respiratory diphtheria require careful monitoring (ideally in a high or intensive care setting) for potentially life-threatening complications from local disease (e.g. airway obstruction or respiratory compromise due to tracheobronchial disease) or systemic manifestations (especially cardiac complications). </w:t>
      </w:r>
    </w:p>
    <w:p w:rsidR="00DA52FC" w:rsidRDefault="00DA52FC" w:rsidP="003A6272">
      <w:pPr>
        <w:ind w:left="2160" w:hanging="2160"/>
      </w:pPr>
    </w:p>
    <w:p w:rsidR="00DA52FC" w:rsidRDefault="00DA52FC" w:rsidP="003A6272">
      <w:pPr>
        <w:ind w:left="2160" w:hanging="2160"/>
      </w:pPr>
    </w:p>
    <w:p w:rsidR="00DA52FC" w:rsidRDefault="00DA52FC" w:rsidP="003A6272">
      <w:pPr>
        <w:ind w:left="2160" w:hanging="2160"/>
      </w:pPr>
    </w:p>
    <w:p w:rsidR="00DA52FC" w:rsidRDefault="00DA52FC" w:rsidP="003A6272">
      <w:pPr>
        <w:ind w:left="2160" w:hanging="2160"/>
      </w:pPr>
    </w:p>
    <w:p w:rsidR="00DA52FC" w:rsidRDefault="00DA52FC" w:rsidP="003A6272">
      <w:pPr>
        <w:ind w:left="2160" w:hanging="2160"/>
      </w:pPr>
    </w:p>
    <w:p w:rsidR="00DA52FC" w:rsidRDefault="00DA52FC" w:rsidP="001000C2"/>
    <w:p w:rsidR="00DA52FC" w:rsidRDefault="00DA52FC" w:rsidP="00DA52FC">
      <w:pPr>
        <w:ind w:left="2160" w:hanging="2160"/>
        <w:jc w:val="right"/>
        <w:rPr>
          <w:b/>
        </w:rPr>
      </w:pPr>
      <w:r>
        <w:rPr>
          <w:b/>
        </w:rPr>
        <w:t>Annexure-2</w:t>
      </w:r>
    </w:p>
    <w:tbl>
      <w:tblPr>
        <w:tblW w:w="8901" w:type="dxa"/>
        <w:jc w:val="center"/>
        <w:tblLook w:val="04A0" w:firstRow="1" w:lastRow="0" w:firstColumn="1" w:lastColumn="0" w:noHBand="0" w:noVBand="1"/>
      </w:tblPr>
      <w:tblGrid>
        <w:gridCol w:w="8901"/>
      </w:tblGrid>
      <w:tr w:rsidR="000A29E0" w:rsidRPr="0056796D" w:rsidTr="00DA7504">
        <w:trPr>
          <w:trHeight w:val="300"/>
          <w:jc w:val="center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E0" w:rsidRPr="0056796D" w:rsidRDefault="000A29E0" w:rsidP="000A29E0">
            <w:pPr>
              <w:spacing w:after="0"/>
              <w:jc w:val="center"/>
              <w:rPr>
                <w:color w:val="000000"/>
              </w:rPr>
            </w:pPr>
            <w:r w:rsidRPr="0056796D">
              <w:rPr>
                <w:color w:val="000000"/>
              </w:rPr>
              <w:t>Diphtheria Case Investigation Form</w:t>
            </w:r>
          </w:p>
        </w:tc>
      </w:tr>
      <w:tr w:rsidR="000A29E0" w:rsidRPr="0056796D" w:rsidTr="00DA7504">
        <w:trPr>
          <w:trHeight w:val="300"/>
          <w:jc w:val="center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E0" w:rsidRPr="0056796D" w:rsidRDefault="000A29E0" w:rsidP="00F42A2F">
            <w:pPr>
              <w:spacing w:after="0"/>
              <w:jc w:val="center"/>
              <w:rPr>
                <w:color w:val="000000"/>
              </w:rPr>
            </w:pPr>
            <w:r w:rsidRPr="0056796D">
              <w:rPr>
                <w:color w:val="000000"/>
              </w:rPr>
              <w:t>1st copy to be sent to laborat</w:t>
            </w:r>
            <w:r w:rsidR="00F42A2F">
              <w:rPr>
                <w:color w:val="000000"/>
              </w:rPr>
              <w:t>ory with specimen, 2nd copy to DHO/ AS</w:t>
            </w:r>
            <w:r w:rsidRPr="0056796D">
              <w:rPr>
                <w:color w:val="000000"/>
              </w:rPr>
              <w:t xml:space="preserve"> office and 3rd copy to be kept in the reporting health facility</w:t>
            </w:r>
          </w:p>
        </w:tc>
      </w:tr>
    </w:tbl>
    <w:tbl>
      <w:tblPr>
        <w:tblpPr w:leftFromText="180" w:rightFromText="180" w:vertAnchor="text" w:tblpX="355" w:tblpY="241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0"/>
      </w:tblGrid>
      <w:tr w:rsidR="000A29E0" w:rsidTr="000A29E0">
        <w:trPr>
          <w:trHeight w:val="6330"/>
        </w:trPr>
        <w:tc>
          <w:tcPr>
            <w:tcW w:w="10530" w:type="dxa"/>
          </w:tcPr>
          <w:p w:rsidR="000A29E0" w:rsidRPr="001866EA" w:rsidRDefault="000A29E0" w:rsidP="000A29E0">
            <w:pPr>
              <w:pStyle w:val="NoSpacing"/>
              <w:ind w:left="360"/>
              <w:rPr>
                <w:rFonts w:ascii="Times New Roman" w:hAnsi="Times New Roman" w:cs="Times New Roman"/>
                <w:b/>
              </w:rPr>
            </w:pPr>
            <w:r w:rsidRPr="001866EA">
              <w:rPr>
                <w:rFonts w:ascii="Times New Roman" w:hAnsi="Times New Roman" w:cs="Times New Roman"/>
                <w:b/>
              </w:rPr>
              <w:lastRenderedPageBreak/>
              <w:t>PART I: For</w:t>
            </w:r>
            <w:r w:rsidR="00CC50E8">
              <w:rPr>
                <w:rFonts w:ascii="Times New Roman" w:hAnsi="Times New Roman" w:cs="Times New Roman"/>
                <w:b/>
              </w:rPr>
              <w:t xml:space="preserve"> Use by Reporting Facility and </w:t>
            </w:r>
            <w:r w:rsidRPr="001866EA">
              <w:rPr>
                <w:rFonts w:ascii="Times New Roman" w:hAnsi="Times New Roman" w:cs="Times New Roman"/>
                <w:b/>
              </w:rPr>
              <w:t>D</w:t>
            </w:r>
            <w:r w:rsidR="00CC50E8">
              <w:rPr>
                <w:rFonts w:ascii="Times New Roman" w:hAnsi="Times New Roman" w:cs="Times New Roman"/>
                <w:b/>
              </w:rPr>
              <w:t>H</w:t>
            </w:r>
            <w:r w:rsidRPr="001866EA">
              <w:rPr>
                <w:rFonts w:ascii="Times New Roman" w:hAnsi="Times New Roman" w:cs="Times New Roman"/>
                <w:b/>
              </w:rPr>
              <w:t>O</w:t>
            </w:r>
            <w:r w:rsidR="00CC50E8">
              <w:rPr>
                <w:rFonts w:ascii="Times New Roman" w:hAnsi="Times New Roman" w:cs="Times New Roman"/>
                <w:b/>
              </w:rPr>
              <w:t>/ Agency Surgeon</w:t>
            </w:r>
            <w:r w:rsidRPr="001866EA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Name of Reporting Health Facility: ___________________________________________________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Union Council: _____________________Tehsil/City: ___________________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District: __________________________________________Province/Area: ____________________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Date Patient Visited Hospital: _____/_____/_____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PAK/Province Code/District ID/Year/Dip/Case Serial # # # #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Patient's Name: ______________________________Sex:                  Male/ Female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Father's Name: _____________________________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Date of Birth: _____/_____/_____             Age:  _________Months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Address of Patient: Village/Street/Mahalla____________________________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Union Council: ______________________ Tehsil/Taluka/City_______________________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District: ________________________________Province/Area: _______________________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56796D">
              <w:rPr>
                <w:rFonts w:ascii="Times New Roman" w:hAnsi="Times New Roman" w:cs="Times New Roman"/>
                <w:sz w:val="18"/>
                <w:szCs w:val="18"/>
              </w:rPr>
              <w:t xml:space="preserve">Clinical evidence: </w:t>
            </w:r>
            <w:r w:rsidRPr="0056796D">
              <w:rPr>
                <w:rFonts w:ascii="Times New Roman" w:hAnsi="Times New Roman" w:cs="Times New Roman"/>
                <w:sz w:val="28"/>
                <w:szCs w:val="28"/>
              </w:rPr>
              <w:t></w:t>
            </w:r>
            <w:r w:rsidRPr="0056796D">
              <w:rPr>
                <w:rFonts w:ascii="Times New Roman" w:hAnsi="Times New Roman" w:cs="Times New Roman"/>
                <w:sz w:val="18"/>
                <w:szCs w:val="18"/>
              </w:rPr>
              <w:t xml:space="preserve">Sore Throat </w:t>
            </w:r>
            <w:r w:rsidRPr="0056796D">
              <w:rPr>
                <w:rFonts w:ascii="Times New Roman" w:hAnsi="Times New Roman" w:cs="Times New Roman"/>
                <w:sz w:val="28"/>
                <w:szCs w:val="28"/>
              </w:rPr>
              <w:t></w:t>
            </w:r>
            <w:r w:rsidRPr="0056796D">
              <w:rPr>
                <w:rFonts w:ascii="Times New Roman" w:hAnsi="Times New Roman" w:cs="Times New Roman"/>
                <w:sz w:val="18"/>
                <w:szCs w:val="18"/>
              </w:rPr>
              <w:t xml:space="preserve">Low Grade Fever </w:t>
            </w:r>
            <w:r w:rsidRPr="0056796D">
              <w:rPr>
                <w:rFonts w:ascii="Times New Roman" w:hAnsi="Times New Roman" w:cs="Times New Roman"/>
                <w:sz w:val="28"/>
                <w:szCs w:val="28"/>
              </w:rPr>
              <w:t></w:t>
            </w:r>
            <w:r w:rsidRPr="0056796D">
              <w:rPr>
                <w:rFonts w:ascii="Times New Roman" w:hAnsi="Times New Roman" w:cs="Times New Roman"/>
                <w:sz w:val="18"/>
                <w:szCs w:val="18"/>
              </w:rPr>
              <w:t xml:space="preserve">Adherent Membrane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Date of onset:               _____/_____/_____    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 Number of Pentavalent vaccine doses received (circle):      Nil/ One/ Two/Three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Date of last dose of pentavalent vaccination: _____/_____/_____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Type of specimen (circle):                Nasal swab                                Throat swab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Date of Specimen Collection:        ____ / _____/ _____             _____/_____/_____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Date of Specimen S e n t to Lab: ____ / _____/_____            ____ / _____/_____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Lab Result to be Sent to: (EDO-H, DSC/SO-WHO, Provincial and Federal officials) and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Name: ___________________________ Telephone/FAX: __________ Email: ______________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 xml:space="preserve">Address: ______________________________________________________ </w:t>
            </w:r>
          </w:p>
          <w:p w:rsidR="000A29E0" w:rsidRPr="0056796D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Name of person completing the form: _________________________</w:t>
            </w:r>
          </w:p>
          <w:p w:rsidR="000A29E0" w:rsidRDefault="000A29E0" w:rsidP="000A29E0">
            <w:pPr>
              <w:pStyle w:val="NoSpacing"/>
              <w:rPr>
                <w:rFonts w:ascii="Times New Roman" w:hAnsi="Times New Roman" w:cs="Times New Roman"/>
              </w:rPr>
            </w:pPr>
            <w:r w:rsidRPr="0056796D">
              <w:rPr>
                <w:rFonts w:ascii="Times New Roman" w:hAnsi="Times New Roman" w:cs="Times New Roman"/>
              </w:rPr>
              <w:t>Designation: _________________________ Signature: _</w:t>
            </w:r>
            <w:r>
              <w:rPr>
                <w:rFonts w:ascii="Times New Roman" w:hAnsi="Times New Roman" w:cs="Times New Roman"/>
              </w:rPr>
              <w:t>_____________</w:t>
            </w:r>
            <w:r w:rsidRPr="0056796D">
              <w:rPr>
                <w:rFonts w:ascii="Times New Roman" w:hAnsi="Times New Roman" w:cs="Times New Roman"/>
              </w:rPr>
              <w:t xml:space="preserve">D a t e : _____/_____/_____ </w:t>
            </w:r>
          </w:p>
          <w:p w:rsidR="000A29E0" w:rsidRDefault="000A29E0" w:rsidP="000A29E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W w:w="1053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0A29E0" w:rsidRPr="00457EBB" w:rsidTr="000A29E0">
        <w:tc>
          <w:tcPr>
            <w:tcW w:w="10530" w:type="dxa"/>
            <w:shd w:val="clear" w:color="auto" w:fill="auto"/>
          </w:tcPr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DA2081">
              <w:rPr>
                <w:rFonts w:ascii="Times New Roman" w:hAnsi="Times New Roman" w:cs="Times New Roman"/>
                <w:b/>
              </w:rPr>
              <w:t xml:space="preserve">PART II: For Use by Receiving Laboratory 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Type of specimen (circle):                     Nasal swab                         Throat swab 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Date specimens received at lab: _____ /____ / ____                       _____/_____/_____ 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>Lab Number:                              ________________                      _</w:t>
            </w:r>
            <w:bookmarkStart w:id="0" w:name="_GoBack"/>
            <w:bookmarkEnd w:id="0"/>
            <w:r w:rsidRPr="00DA2081">
              <w:rPr>
                <w:rFonts w:ascii="Times New Roman" w:hAnsi="Times New Roman" w:cs="Times New Roman"/>
              </w:rPr>
              <w:t>________________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Condition of specimen: 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Quantity Adequate:                     Yes             No                               Yes            No 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Cold Chain OK                           Yes             No                               Yes            No 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Specimen Received by: </w:t>
            </w:r>
          </w:p>
          <w:p w:rsidR="000A29E0" w:rsidRPr="00DA2081" w:rsidRDefault="000A29E0" w:rsidP="000A29E0">
            <w:pPr>
              <w:pStyle w:val="NoSpacing"/>
              <w:tabs>
                <w:tab w:val="left" w:pos="2475"/>
              </w:tabs>
              <w:ind w:right="-1278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Name: </w:t>
            </w:r>
            <w:r w:rsidRPr="00DA2081">
              <w:rPr>
                <w:rFonts w:ascii="Times New Roman" w:hAnsi="Times New Roman" w:cs="Times New Roman"/>
              </w:rPr>
              <w:tab/>
              <w:t xml:space="preserve"> ____________________            ____________________</w:t>
            </w:r>
          </w:p>
          <w:p w:rsidR="000A29E0" w:rsidRPr="00DA2081" w:rsidRDefault="000A29E0" w:rsidP="00DA7504">
            <w:pPr>
              <w:pStyle w:val="NoSpacing"/>
              <w:tabs>
                <w:tab w:val="left" w:pos="5370"/>
              </w:tabs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>Designation:                        _____________________</w:t>
            </w:r>
            <w:r w:rsidRPr="00DA2081">
              <w:rPr>
                <w:rFonts w:ascii="Times New Roman" w:hAnsi="Times New Roman" w:cs="Times New Roman"/>
              </w:rPr>
              <w:tab/>
              <w:t>____________________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Date of Lab Test done:          _____ / ____ / _____                    _____/_____/_____ 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>Type of test done:                ______________________         ____________________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>Test result:                          _______________________       _____________________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>Comment: _______________________________________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Report sent by: Nam: _____________________________ Signature: ____________________ 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  <w:r w:rsidRPr="00DA2081">
              <w:rPr>
                <w:rFonts w:ascii="Times New Roman" w:hAnsi="Times New Roman" w:cs="Times New Roman"/>
              </w:rPr>
              <w:t xml:space="preserve">Designation: ________________________ Date: ________________________ </w:t>
            </w:r>
          </w:p>
          <w:p w:rsidR="000A29E0" w:rsidRPr="00DA2081" w:rsidRDefault="000A29E0" w:rsidP="00DA750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0A29E0" w:rsidRDefault="000A29E0" w:rsidP="000A29E0">
      <w:pPr>
        <w:ind w:left="2160" w:hanging="2160"/>
        <w:rPr>
          <w:b/>
        </w:rPr>
      </w:pPr>
    </w:p>
    <w:p w:rsidR="000A29E0" w:rsidRDefault="000A29E0" w:rsidP="00DA52FC">
      <w:pPr>
        <w:ind w:left="2160" w:hanging="2160"/>
        <w:jc w:val="right"/>
        <w:rPr>
          <w:b/>
        </w:rPr>
      </w:pPr>
    </w:p>
    <w:sectPr w:rsidR="000A29E0" w:rsidSect="00A723CA">
      <w:pgSz w:w="11907" w:h="16839" w:code="9"/>
      <w:pgMar w:top="720" w:right="432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2F21"/>
    <w:multiLevelType w:val="hybridMultilevel"/>
    <w:tmpl w:val="FA3EB11E"/>
    <w:lvl w:ilvl="0" w:tplc="1D081960">
      <w:start w:val="1"/>
      <w:numFmt w:val="lowerRoman"/>
      <w:lvlText w:val="(%1)"/>
      <w:lvlJc w:val="left"/>
      <w:pPr>
        <w:ind w:left="29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" w15:restartNumberingAfterBreak="0">
    <w:nsid w:val="215A3D9D"/>
    <w:multiLevelType w:val="hybridMultilevel"/>
    <w:tmpl w:val="E926D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0A03B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9B0639"/>
    <w:multiLevelType w:val="hybridMultilevel"/>
    <w:tmpl w:val="3476005E"/>
    <w:lvl w:ilvl="0" w:tplc="652A6E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679C4"/>
    <w:multiLevelType w:val="hybridMultilevel"/>
    <w:tmpl w:val="B3485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2764C"/>
    <w:multiLevelType w:val="hybridMultilevel"/>
    <w:tmpl w:val="3CB65E1E"/>
    <w:lvl w:ilvl="0" w:tplc="75ACBB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53"/>
    <w:rsid w:val="00044B72"/>
    <w:rsid w:val="00045E8E"/>
    <w:rsid w:val="000A29E0"/>
    <w:rsid w:val="000C427C"/>
    <w:rsid w:val="000E5082"/>
    <w:rsid w:val="000F1081"/>
    <w:rsid w:val="001000C2"/>
    <w:rsid w:val="001248B1"/>
    <w:rsid w:val="001258D8"/>
    <w:rsid w:val="001323FF"/>
    <w:rsid w:val="001A4833"/>
    <w:rsid w:val="001A4FE4"/>
    <w:rsid w:val="00274C4E"/>
    <w:rsid w:val="002B11C7"/>
    <w:rsid w:val="002D3080"/>
    <w:rsid w:val="002D47E6"/>
    <w:rsid w:val="002E14A3"/>
    <w:rsid w:val="00314332"/>
    <w:rsid w:val="0035624E"/>
    <w:rsid w:val="003A6272"/>
    <w:rsid w:val="004002C7"/>
    <w:rsid w:val="0041307B"/>
    <w:rsid w:val="004232E7"/>
    <w:rsid w:val="00433646"/>
    <w:rsid w:val="00441D89"/>
    <w:rsid w:val="00461EF9"/>
    <w:rsid w:val="004A7FA6"/>
    <w:rsid w:val="004E5FDF"/>
    <w:rsid w:val="004E6958"/>
    <w:rsid w:val="004E7EA8"/>
    <w:rsid w:val="004F3305"/>
    <w:rsid w:val="00504CA8"/>
    <w:rsid w:val="00507A8A"/>
    <w:rsid w:val="00551CE2"/>
    <w:rsid w:val="00573F03"/>
    <w:rsid w:val="005803F0"/>
    <w:rsid w:val="00580DB5"/>
    <w:rsid w:val="005827BC"/>
    <w:rsid w:val="005F2759"/>
    <w:rsid w:val="006256A9"/>
    <w:rsid w:val="006325C7"/>
    <w:rsid w:val="00670F53"/>
    <w:rsid w:val="006A0414"/>
    <w:rsid w:val="006A0F4E"/>
    <w:rsid w:val="006D1511"/>
    <w:rsid w:val="006E5FBA"/>
    <w:rsid w:val="00706349"/>
    <w:rsid w:val="0071694D"/>
    <w:rsid w:val="007A16E9"/>
    <w:rsid w:val="007A4585"/>
    <w:rsid w:val="007D4564"/>
    <w:rsid w:val="007F58F5"/>
    <w:rsid w:val="00811CEB"/>
    <w:rsid w:val="00821A52"/>
    <w:rsid w:val="00824571"/>
    <w:rsid w:val="008259E9"/>
    <w:rsid w:val="008B5F0C"/>
    <w:rsid w:val="009A0FBB"/>
    <w:rsid w:val="009A12DC"/>
    <w:rsid w:val="009D3474"/>
    <w:rsid w:val="00A31E0E"/>
    <w:rsid w:val="00A34122"/>
    <w:rsid w:val="00A34DEC"/>
    <w:rsid w:val="00A5417E"/>
    <w:rsid w:val="00A65490"/>
    <w:rsid w:val="00A662E8"/>
    <w:rsid w:val="00A7052C"/>
    <w:rsid w:val="00A70DC9"/>
    <w:rsid w:val="00A7220B"/>
    <w:rsid w:val="00A723CA"/>
    <w:rsid w:val="00AC2C19"/>
    <w:rsid w:val="00AE251B"/>
    <w:rsid w:val="00AF01A4"/>
    <w:rsid w:val="00AF7EF8"/>
    <w:rsid w:val="00B87689"/>
    <w:rsid w:val="00B97DDE"/>
    <w:rsid w:val="00BB153A"/>
    <w:rsid w:val="00BE6578"/>
    <w:rsid w:val="00C01A56"/>
    <w:rsid w:val="00C25C77"/>
    <w:rsid w:val="00C5680A"/>
    <w:rsid w:val="00C77C17"/>
    <w:rsid w:val="00C95A7E"/>
    <w:rsid w:val="00CA59ED"/>
    <w:rsid w:val="00CB1202"/>
    <w:rsid w:val="00CC50E8"/>
    <w:rsid w:val="00D17E46"/>
    <w:rsid w:val="00DA52FC"/>
    <w:rsid w:val="00E21166"/>
    <w:rsid w:val="00E23D11"/>
    <w:rsid w:val="00E325EC"/>
    <w:rsid w:val="00E74A61"/>
    <w:rsid w:val="00E8636E"/>
    <w:rsid w:val="00ED722F"/>
    <w:rsid w:val="00F42A2F"/>
    <w:rsid w:val="00F6205C"/>
    <w:rsid w:val="00F7798E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17293-AC79-474E-AE24-57AB8B15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72"/>
  </w:style>
  <w:style w:type="paragraph" w:styleId="Heading4">
    <w:name w:val="heading 4"/>
    <w:basedOn w:val="Normal"/>
    <w:link w:val="Heading4Char"/>
    <w:uiPriority w:val="9"/>
    <w:qFormat/>
    <w:rsid w:val="00F620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4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323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4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1081"/>
  </w:style>
  <w:style w:type="character" w:customStyle="1" w:styleId="Heading4Char">
    <w:name w:val="Heading 4 Char"/>
    <w:basedOn w:val="DefaultParagraphFont"/>
    <w:link w:val="Heading4"/>
    <w:uiPriority w:val="9"/>
    <w:rsid w:val="00F620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6205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5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29E0"/>
    <w:pPr>
      <w:spacing w:after="0" w:line="240" w:lineRule="auto"/>
    </w:pPr>
    <w:rPr>
      <w:rFonts w:ascii="Calibri" w:eastAsia="Calibri" w:hAnsi="Calibri"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0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11210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EPI3</dc:creator>
  <cp:lastModifiedBy>EPI-4</cp:lastModifiedBy>
  <cp:revision>7</cp:revision>
  <cp:lastPrinted>2019-04-04T11:41:00Z</cp:lastPrinted>
  <dcterms:created xsi:type="dcterms:W3CDTF">2017-06-27T16:39:00Z</dcterms:created>
  <dcterms:modified xsi:type="dcterms:W3CDTF">2019-04-04T14:41:00Z</dcterms:modified>
</cp:coreProperties>
</file>