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3A5C"/>
          <w:sz w:val="56"/>
          <w:szCs w:val="56"/>
        </w:rPr>
        <w:t xml:space="preserve">CHANGETHEGAME</w:t>
      </w:r>
    </w:p>
    <w:p>
      <w:pPr>
        <w:spacing w:after="600"/>
        <w:jc w:val="center"/>
      </w:pPr>
      <w:r>
        <w:rPr>
          <w:rFonts w:ascii="Arial" w:cs="Arial" w:eastAsia="Arial" w:hAnsi="Arial"/>
          <w:color w:val="2E75B6"/>
          <w:sz w:val="36"/>
          <w:szCs w:val="36"/>
        </w:rPr>
        <w:t xml:space="preserve">Plan d’action technique</w:t>
      </w:r>
    </w:p>
    <w:p>
      <w:pPr>
        <w:pBdr>
          <w:top w:val="single" w:color="2E75B6" w:sz="6" w:space="1"/>
        </w:pBdr>
        <w:spacing w:after="100" w:before="200"/>
        <w:jc w:val="center"/>
      </w:pPr>
    </w:p>
    <w:p>
      <w:pPr>
        <w:spacing w:after="200"/>
      </w:pPr>
    </w:p>
    <w:p>
      <w:pPr>
        <w:spacing w:after="80"/>
        <w:jc w:val="center"/>
      </w:pPr>
      <w:r>
        <w:rPr>
          <w:rFonts w:ascii="Arial" w:cs="Arial" w:eastAsia="Arial" w:hAnsi="Arial"/>
          <w:color w:val="1A1A1A"/>
          <w:sz w:val="26"/>
          <w:szCs w:val="26"/>
        </w:rPr>
        <w:t xml:space="preserve">Améliorations identifiées &amp; feuille de route</w:t>
      </w:r>
    </w:p>
    <w:p>
      <w:pPr>
        <w:spacing w:after="80"/>
        <w:jc w:val="center"/>
      </w:pPr>
      <w:r>
        <w:rPr>
          <w:rFonts w:ascii="Arial" w:cs="Arial" w:eastAsia="Arial" w:hAnsi="Arial"/>
          <w:color w:val="666666"/>
          <w:sz w:val="22"/>
          <w:szCs w:val="22"/>
        </w:rPr>
        <w:t xml:space="preserve">11 mars 2026</w:t>
      </w:r>
    </w:p>
    <w:p>
      <w:pPr>
        <w:jc w:val="center"/>
      </w:pPr>
      <w:r>
        <w:rPr>
          <w:rFonts w:ascii="Arial" w:cs="Arial" w:eastAsia="Arial" w:hAnsi="Arial"/>
          <w:color w:val="666666"/>
          <w:sz w:val="22"/>
          <w:szCs w:val="22"/>
        </w:rPr>
        <w:t xml:space="preserve">10 axes • 3 phases • 10-13 semaines</w:t>
      </w:r>
    </w:p>
    <w:p>
      <w:pPr>
        <w:spacing w:after="2000"/>
      </w:pPr>
    </w:p>
    <w:p>
      <w:pPr>
        <w:jc w:val="center"/>
      </w:pPr>
      <w:r>
        <w:rPr>
          <w:rFonts w:ascii="Arial" w:cs="Arial" w:eastAsia="Arial" w:hAnsi="Arial"/>
          <w:i/>
          <w:iCs/>
          <w:color w:val="888888"/>
          <w:sz w:val="20"/>
          <w:szCs w:val="20"/>
        </w:rPr>
        <w:t xml:space="preserve">Préparé pour Pierre-Alexandre Klein</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Synthèse exécutive</w:t>
      </w:r>
    </w:p>
    <w:p>
      <w:pPr>
        <w:spacing w:after="120"/>
      </w:pPr>
      <w:r>
        <w:rPr>
          <w:rFonts w:ascii="Arial" w:cs="Arial" w:eastAsia="Arial" w:hAnsi="Arial"/>
          <w:color w:val="1A1A1A"/>
          <w:sz w:val="22"/>
          <w:szCs w:val="22"/>
        </w:rPr>
        <w:t xml:space="preserve">Ce document présente un plan d’action structuré en 10 axes d’amélioration pour le portail changethegame. L’analyse complète du projet (149 000 lignes de code, 257 tables Supabase, 131 pages, 4 919 commits) a révélé des zones d’ombre critiques dans les domaines de la qualité, la sécurité et l’observabilité.</w:t>
      </w:r>
    </w:p>
    <w:p>
      <w:pPr>
        <w:spacing w:after="120"/>
      </w:pPr>
      <w:r>
        <w:rPr>
          <w:rFonts w:ascii="Arial" w:cs="Arial" w:eastAsia="Arial" w:hAnsi="Arial"/>
          <w:color w:val="1A1A1A"/>
          <w:sz w:val="22"/>
          <w:szCs w:val="22"/>
        </w:rPr>
        <w:t xml:space="preserve">Le plan est organisé en trois phases progressives, de la stabilisation immédiate aux améliorations de qualité à long terme. La durée totale estimée est de 10 à 13 semaines.</w:t>
      </w:r>
    </w:p>
    <w:p>
      <w:pPr>
        <w:spacing w:after="200"/>
      </w:pPr>
    </w:p>
    <w:p>
      <w:pPr>
        <w:pStyle w:val="Heading1"/>
      </w:pPr>
      <w:r>
        <w:rPr>
          <w:rFonts w:ascii="Arial" w:cs="Arial" w:eastAsia="Arial" w:hAnsi="Arial"/>
        </w:rPr>
        <w:t xml:space="preserve">Phasage</w:t>
      </w:r>
    </w:p>
    <w:p>
      <w:pPr>
        <w:spacing w:after="120"/>
      </w:pPr>
      <w:r>
        <w:rPr>
          <w:rFonts w:ascii="Arial" w:cs="Arial" w:eastAsia="Arial" w:hAnsi="Arial"/>
          <w:color w:val="1A1A1A"/>
          <w:sz w:val="22"/>
          <w:szCs w:val="22"/>
        </w:rPr>
        <w:t xml:space="preserve">Les 10 actions sont réparties en trois phases selon leur urgence et leurs dépendances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760"/>
        <w:gridCol w:w="18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 estimée</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Stabilisation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A3, A6, A8, A9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2-3 semaines</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A1A1A"/>
                <w:sz w:val="20"/>
                <w:szCs w:val="20"/>
              </w:rPr>
              <w:t xml:space="preserve">Fondations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A1, A2, A4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4-6 semaines</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Qualité &amp; complétude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A5, A7, A10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3-4 semaines</w:t>
            </w:r>
          </w:p>
        </w:tc>
      </w:tr>
    </w:tbl>
    <w:p>
      <w:pPr>
        <w:spacing w:after="300"/>
      </w:pPr>
    </w:p>
    <w:p>
      <w:pPr>
        <w:pStyle w:val="Heading1"/>
      </w:pPr>
      <w:r>
        <w:rPr>
          <w:rFonts w:ascii="Arial" w:cs="Arial" w:eastAsia="Arial" w:hAnsi="Arial"/>
        </w:rPr>
        <w:t xml:space="preserve">Vue d’ensemble des actions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100"/>
        <w:gridCol w:w="1400"/>
        <w:gridCol w:w="1300"/>
        <w:gridCol w:w="136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A1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Mise en place d’une suite de tests</w:t>
            </w:r>
          </w:p>
        </w:tc>
        <w:tc>
          <w:tcPr>
            <w:tcW w:type="dxa" w:w="11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3-4 semaines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Très élevé</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Phase 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A1A1A"/>
                <w:sz w:val="20"/>
                <w:szCs w:val="20"/>
              </w:rPr>
              <w:t xml:space="preserve">A2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20"/>
                <w:szCs w:val="20"/>
              </w:rPr>
              <w:t xml:space="preserve">Activation du mode strict TypeScript</w:t>
            </w:r>
          </w:p>
        </w:tc>
        <w:tc>
          <w:tcPr>
            <w:tcW w:type="dxa" w:w="1100"/>
            <w:tcBorders>
              <w:top w:val="single" w:color="CCCCCC" w:sz="1"/>
              <w:left w:val="single" w:color="CCCCCC" w:sz="1"/>
              <w:bottom w:val="single" w:color="CCCCCC" w:sz="1"/>
              <w:right w:val="single" w:color="CCCCCC" w:sz="1"/>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2-3 semaines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Élevé</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Phase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A3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Nettoyage des console.log et mise en place d’un logger</w:t>
            </w:r>
          </w:p>
        </w:tc>
        <w:tc>
          <w:tcPr>
            <w:tcW w:type="dxa" w:w="1100"/>
            <w:tcBorders>
              <w:top w:val="single" w:color="CCCCCC" w:sz="1"/>
              <w:left w:val="single" w:color="CCCCCC" w:sz="1"/>
              <w:bottom w:val="single" w:color="CCCCCC" w:sz="1"/>
              <w:right w:val="single" w:color="CCCCCC" w:sz="1"/>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3-5 jours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Moyen-élevé</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Phase 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A1A1A"/>
                <w:sz w:val="20"/>
                <w:szCs w:val="20"/>
              </w:rPr>
              <w:t xml:space="preserve">A4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20"/>
                <w:szCs w:val="20"/>
              </w:rPr>
              <w:t xml:space="preserve">Monitoring et observabilité</w:t>
            </w:r>
          </w:p>
        </w:tc>
        <w:tc>
          <w:tcPr>
            <w:tcW w:type="dxa" w:w="1100"/>
            <w:tcBorders>
              <w:top w:val="single" w:color="CCCCCC" w:sz="1"/>
              <w:left w:val="single" w:color="CCCCCC" w:sz="1"/>
              <w:bottom w:val="single" w:color="CCCCCC" w:sz="1"/>
              <w:right w:val="single" w:color="CCCCCC" w:sz="1"/>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1-2 semaines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Élevé</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Phase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A5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Documentation d’architecture et d’API</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1-2 semaines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Moyen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Phase 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A1A1A"/>
                <w:sz w:val="20"/>
                <w:szCs w:val="20"/>
              </w:rPr>
              <w:t xml:space="preserve">A6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20"/>
                <w:szCs w:val="20"/>
              </w:rPr>
              <w:t xml:space="preserve">Audit de sécurité RLS et sanitisation</w:t>
            </w:r>
          </w:p>
        </w:tc>
        <w:tc>
          <w:tcPr>
            <w:tcW w:type="dxa" w:w="11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CRITIQUE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2-3 semaines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Très élevé</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Phase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A7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Audit d’accessibilité WCAG</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1-2 semaines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Moyen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Phase 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A1A1A"/>
                <w:sz w:val="20"/>
                <w:szCs w:val="20"/>
              </w:rPr>
              <w:t xml:space="preserve">A8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20"/>
                <w:szCs w:val="20"/>
              </w:rPr>
              <w:t xml:space="preserve">Pipeline CI/CD</w:t>
            </w:r>
          </w:p>
        </w:tc>
        <w:tc>
          <w:tcPr>
            <w:tcW w:type="dxa" w:w="1100"/>
            <w:tcBorders>
              <w:top w:val="single" w:color="CCCCCC" w:sz="1"/>
              <w:left w:val="single" w:color="CCCCCC" w:sz="1"/>
              <w:bottom w:val="single" w:color="CCCCCC" w:sz="1"/>
              <w:right w:val="single" w:color="CCCCCC" w:sz="1"/>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1 semaine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Élevé</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Phase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A9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Gestion d’erreurs centralisée</w:t>
            </w:r>
          </w:p>
        </w:tc>
        <w:tc>
          <w:tcPr>
            <w:tcW w:type="dxa" w:w="1100"/>
            <w:tcBorders>
              <w:top w:val="single" w:color="CCCCCC" w:sz="1"/>
              <w:left w:val="single" w:color="CCCCCC" w:sz="1"/>
              <w:bottom w:val="single" w:color="CCCCCC" w:sz="1"/>
              <w:right w:val="single" w:color="CCCCCC" w:sz="1"/>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 semaine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Moyen-élevé</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Phase 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A1A1A"/>
                <w:sz w:val="20"/>
                <w:szCs w:val="20"/>
              </w:rPr>
              <w:t xml:space="preserve">A10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20"/>
                <w:szCs w:val="20"/>
              </w:rPr>
              <w:t xml:space="preserve">Audit de complétude des fonctionnalités</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1-2 semaines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Moyen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A1A1A"/>
                <w:sz w:val="18"/>
                <w:szCs w:val="18"/>
              </w:rPr>
              <w:t xml:space="preserve">Phase 3</w:t>
            </w:r>
          </w:p>
        </w:tc>
      </w:tr>
    </w:tbl>
    <w:p>
      <w:pPr>
        <w:spacing w:after="100"/>
      </w:pPr>
    </w:p>
    <w:p>
      <w:pPr>
        <w:spacing w:after="120"/>
      </w:pPr>
      <w:r>
        <w:rPr>
          <w:rFonts w:ascii="Arial" w:cs="Arial" w:eastAsia="Arial" w:hAnsi="Arial"/>
          <w:i/>
          <w:iCs/>
          <w:color w:val="666666"/>
          <w:sz w:val="18"/>
          <w:szCs w:val="18"/>
        </w:rPr>
        <w:t xml:space="preserve">Légende des priorités : CRITIQUE = risque immédiat, HAUTE = impact significatif, MOYENNE = amélioration importante</w:t>
      </w:r>
    </w:p>
    <w:p>
      <w:r>
        <w:br w:type="page"/>
      </w:r>
    </w:p>
    <w:p>
      <w:pPr>
        <w:pStyle w:val="Heading1"/>
      </w:pPr>
      <w:r>
        <w:rPr>
          <w:rFonts w:ascii="Arial" w:cs="Arial" w:eastAsia="Arial" w:hAnsi="Arial"/>
        </w:rPr>
        <w:t xml:space="preserve">Détail des actions</w:t>
      </w:r>
    </w:p>
    <w:p>
      <w:pPr>
        <w:spacing w:after="100"/>
      </w:pPr>
    </w:p>
    <w:p>
      <w:pPr>
        <w:pStyle w:val="Heading2"/>
      </w:pPr>
      <w:r>
        <w:rPr>
          <w:rFonts w:ascii="Arial" w:cs="Arial" w:eastAsia="Arial" w:hAnsi="Arial"/>
        </w:rPr>
        <w:t xml:space="preserve">A1 — Mise en place d’une suite de tests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Priorité : </w:t>
            </w:r>
            <w:r>
              <w:rPr>
                <w:rFonts w:ascii="Arial" w:cs="Arial" w:eastAsia="Arial" w:hAnsi="Arial"/>
                <w:b/>
                <w:bCs/>
                <w:color w:val="C0392B"/>
                <w:sz w:val="20"/>
                <w:szCs w:val="20"/>
              </w:rPr>
              <w:t xml:space="preserve">CRITIQUE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Effort : </w:t>
            </w:r>
            <w:r>
              <w:rPr>
                <w:rFonts w:ascii="Arial" w:cs="Arial" w:eastAsia="Arial" w:hAnsi="Arial"/>
                <w:sz w:val="20"/>
                <w:szCs w:val="20"/>
              </w:rPr>
              <w:t xml:space="preserve">3-4 semaines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Impact : </w:t>
            </w:r>
            <w:r>
              <w:rPr>
                <w:rFonts w:ascii="Arial" w:cs="Arial" w:eastAsia="Arial" w:hAnsi="Arial"/>
                <w:sz w:val="20"/>
                <w:szCs w:val="20"/>
              </w:rPr>
              <w:t xml:space="preserve">Très élevé</w:t>
            </w:r>
          </w:p>
        </w:tc>
      </w:tr>
    </w:tbl>
    <w:p>
      <w:pPr>
        <w:spacing w:after="120"/>
      </w:pPr>
    </w:p>
    <w:p>
      <w:pPr>
        <w:spacing w:after="120"/>
      </w:pPr>
      <w:r>
        <w:rPr>
          <w:rFonts w:ascii="Arial" w:cs="Arial" w:eastAsia="Arial" w:hAnsi="Arial"/>
          <w:color w:val="1A1A1A"/>
          <w:sz w:val="22"/>
          <w:szCs w:val="22"/>
        </w:rPr>
        <w:t xml:space="preserve">Le projet ne dispose actuellement que d’un seul fichier de test exemple. Avec 149K lignes de code et 60+ hooks custom, le risque de régressions silencieuses est majeur. Il faut mettre en place une stratégie de tests à trois niveaux : tests unitaires (hooks, utils), tests de composants (React Testing Library), et tests d’intégration (flux Supabase).</w:t>
      </w:r>
    </w:p>
    <w:p>
      <w:pPr>
        <w:spacing w:after="80"/>
      </w:pPr>
    </w:p>
    <w:p>
      <w:pPr>
        <w:spacing w:after="120"/>
      </w:pPr>
      <w:r>
        <w:rPr>
          <w:rFonts w:ascii="Arial" w:cs="Arial" w:eastAsia="Arial" w:hAnsi="Arial"/>
          <w:b/>
          <w:bCs/>
          <w:color w:val="1A1A1A"/>
          <w:sz w:val="22"/>
          <w:szCs w:val="22"/>
        </w:rPr>
        <w:t xml:space="preserve">Étapes de mise en œuvre :</w:t>
      </w:r>
    </w:p>
    <w:p>
      <w:pPr>
        <w:pStyle w:val="ListParagraph"/>
        <w:numPr>
          <w:ilvl w:val="0"/>
          <w:numId w:val="2"/>
        </w:numPr>
        <w:spacing w:after="60"/>
      </w:pPr>
      <w:r>
        <w:rPr>
          <w:rFonts w:ascii="Arial" w:cs="Arial" w:eastAsia="Arial" w:hAnsi="Arial"/>
          <w:sz w:val="20"/>
          <w:szCs w:val="20"/>
        </w:rPr>
        <w:t xml:space="preserve">Configurer Vitest avec couverture de code (istanbul/v8)</w:t>
      </w:r>
    </w:p>
    <w:p>
      <w:pPr>
        <w:pStyle w:val="ListParagraph"/>
        <w:numPr>
          <w:ilvl w:val="0"/>
          <w:numId w:val="2"/>
        </w:numPr>
        <w:spacing w:after="60"/>
      </w:pPr>
      <w:r>
        <w:rPr>
          <w:rFonts w:ascii="Arial" w:cs="Arial" w:eastAsia="Arial" w:hAnsi="Arial"/>
          <w:sz w:val="20"/>
          <w:szCs w:val="20"/>
        </w:rPr>
        <w:t xml:space="preserve">Rédiger des tests unitaires pour les 20 hooks les plus critiques (useAuth, useXP, useMessages, etc.)</w:t>
      </w:r>
    </w:p>
    <w:p>
      <w:pPr>
        <w:pStyle w:val="ListParagraph"/>
        <w:numPr>
          <w:ilvl w:val="0"/>
          <w:numId w:val="2"/>
        </w:numPr>
        <w:spacing w:after="60"/>
      </w:pPr>
      <w:r>
        <w:rPr>
          <w:rFonts w:ascii="Arial" w:cs="Arial" w:eastAsia="Arial" w:hAnsi="Arial"/>
          <w:sz w:val="20"/>
          <w:szCs w:val="20"/>
        </w:rPr>
        <w:t xml:space="preserve">Ajouter des tests de composants pour les formulaires clés (login, quest creation, booking)</w:t>
      </w:r>
    </w:p>
    <w:p>
      <w:pPr>
        <w:pStyle w:val="ListParagraph"/>
        <w:numPr>
          <w:ilvl w:val="0"/>
          <w:numId w:val="2"/>
        </w:numPr>
        <w:spacing w:after="60"/>
      </w:pPr>
      <w:r>
        <w:rPr>
          <w:rFonts w:ascii="Arial" w:cs="Arial" w:eastAsia="Arial" w:hAnsi="Arial"/>
          <w:sz w:val="20"/>
          <w:szCs w:val="20"/>
        </w:rPr>
        <w:t xml:space="preserve">Créer des mocks Supabase réutilisables pour les tests d’intégration</w:t>
      </w:r>
    </w:p>
    <w:p>
      <w:pPr>
        <w:pStyle w:val="ListParagraph"/>
        <w:numPr>
          <w:ilvl w:val="0"/>
          <w:numId w:val="2"/>
        </w:numPr>
        <w:spacing w:after="60"/>
      </w:pPr>
      <w:r>
        <w:rPr>
          <w:rFonts w:ascii="Arial" w:cs="Arial" w:eastAsia="Arial" w:hAnsi="Arial"/>
          <w:sz w:val="20"/>
          <w:szCs w:val="20"/>
        </w:rPr>
        <w:t xml:space="preserve">Définir un seuil de couverture minimum (objectif : 60% à terme)</w:t>
      </w:r>
    </w:p>
    <w:p>
      <w:pPr>
        <w:pStyle w:val="ListParagraph"/>
        <w:numPr>
          <w:ilvl w:val="0"/>
          <w:numId w:val="2"/>
        </w:numPr>
        <w:spacing w:after="60"/>
      </w:pPr>
      <w:r>
        <w:rPr>
          <w:rFonts w:ascii="Arial" w:cs="Arial" w:eastAsia="Arial" w:hAnsi="Arial"/>
          <w:sz w:val="20"/>
          <w:szCs w:val="20"/>
        </w:rPr>
        <w:t xml:space="preserve">Intégrer l’exécution des tests dans le pipeline CI (cf. A8)</w:t>
      </w:r>
    </w:p>
    <w:p>
      <w:pPr>
        <w:spacing w:after="200"/>
      </w:pPr>
    </w:p>
    <w:p>
      <w:pPr>
        <w:pStyle w:val="Heading2"/>
      </w:pPr>
      <w:r>
        <w:rPr>
          <w:rFonts w:ascii="Arial" w:cs="Arial" w:eastAsia="Arial" w:hAnsi="Arial"/>
        </w:rPr>
        <w:t xml:space="preserve">A2 — Activation du mode strict TypeScript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Priorité : </w:t>
            </w:r>
            <w:r>
              <w:rPr>
                <w:rFonts w:ascii="Arial" w:cs="Arial" w:eastAsia="Arial" w:hAnsi="Arial"/>
                <w:b/>
                <w:bCs/>
                <w:color w:val="E8A838"/>
                <w:sz w:val="20"/>
                <w:szCs w:val="20"/>
              </w:rPr>
              <w:t xml:space="preserve">HAUTE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Effort : </w:t>
            </w:r>
            <w:r>
              <w:rPr>
                <w:rFonts w:ascii="Arial" w:cs="Arial" w:eastAsia="Arial" w:hAnsi="Arial"/>
                <w:sz w:val="20"/>
                <w:szCs w:val="20"/>
              </w:rPr>
              <w:t xml:space="preserve">2-3 semaines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Impact : </w:t>
            </w:r>
            <w:r>
              <w:rPr>
                <w:rFonts w:ascii="Arial" w:cs="Arial" w:eastAsia="Arial" w:hAnsi="Arial"/>
                <w:sz w:val="20"/>
                <w:szCs w:val="20"/>
              </w:rPr>
              <w:t xml:space="preserve">Élevé</w:t>
            </w:r>
          </w:p>
        </w:tc>
      </w:tr>
    </w:tbl>
    <w:p>
      <w:pPr>
        <w:spacing w:after="120"/>
      </w:pPr>
    </w:p>
    <w:p>
      <w:pPr>
        <w:spacing w:after="120"/>
      </w:pPr>
      <w:r>
        <w:rPr>
          <w:rFonts w:ascii="Arial" w:cs="Arial" w:eastAsia="Arial" w:hAnsi="Arial"/>
          <w:color w:val="1A1A1A"/>
          <w:sz w:val="22"/>
          <w:szCs w:val="22"/>
        </w:rPr>
        <w:t xml:space="preserve">Le projet tourne avec strict: false et noImplicitAny: false. De nombreux casts « any » parsement le code, notamment autour des types Supabase. Le mode strict permet de détecter des bugs à la compilation et sécurise les refactorings.</w:t>
      </w:r>
    </w:p>
    <w:p>
      <w:pPr>
        <w:spacing w:after="80"/>
      </w:pPr>
    </w:p>
    <w:p>
      <w:pPr>
        <w:spacing w:after="120"/>
      </w:pPr>
      <w:r>
        <w:rPr>
          <w:rFonts w:ascii="Arial" w:cs="Arial" w:eastAsia="Arial" w:hAnsi="Arial"/>
          <w:b/>
          <w:bCs/>
          <w:color w:val="1A1A1A"/>
          <w:sz w:val="22"/>
          <w:szCs w:val="22"/>
        </w:rPr>
        <w:t xml:space="preserve">Étapes de mise en œuvre :</w:t>
      </w:r>
    </w:p>
    <w:p>
      <w:pPr>
        <w:pStyle w:val="ListParagraph"/>
        <w:numPr>
          <w:ilvl w:val="0"/>
          <w:numId w:val="2"/>
        </w:numPr>
        <w:spacing w:after="60"/>
      </w:pPr>
      <w:r>
        <w:rPr>
          <w:rFonts w:ascii="Arial" w:cs="Arial" w:eastAsia="Arial" w:hAnsi="Arial"/>
          <w:sz w:val="20"/>
          <w:szCs w:val="20"/>
        </w:rPr>
        <w:t xml:space="preserve">Activer progressivement les flags : noImplicitAny d’abord, puis strictNullChecks</w:t>
      </w:r>
    </w:p>
    <w:p>
      <w:pPr>
        <w:pStyle w:val="ListParagraph"/>
        <w:numPr>
          <w:ilvl w:val="0"/>
          <w:numId w:val="2"/>
        </w:numPr>
        <w:spacing w:after="60"/>
      </w:pPr>
      <w:r>
        <w:rPr>
          <w:rFonts w:ascii="Arial" w:cs="Arial" w:eastAsia="Arial" w:hAnsi="Arial"/>
          <w:sz w:val="20"/>
          <w:szCs w:val="20"/>
        </w:rPr>
        <w:t xml:space="preserve">Générer les types Supabase automatiquement via supabase gen types</w:t>
      </w:r>
    </w:p>
    <w:p>
      <w:pPr>
        <w:pStyle w:val="ListParagraph"/>
        <w:numPr>
          <w:ilvl w:val="0"/>
          <w:numId w:val="2"/>
        </w:numPr>
        <w:spacing w:after="60"/>
      </w:pPr>
      <w:r>
        <w:rPr>
          <w:rFonts w:ascii="Arial" w:cs="Arial" w:eastAsia="Arial" w:hAnsi="Arial"/>
          <w:sz w:val="20"/>
          <w:szCs w:val="20"/>
        </w:rPr>
        <w:t xml:space="preserve">Remplacer les casts « any » par des types concrets (prioriser les hooks et services)</w:t>
      </w:r>
    </w:p>
    <w:p>
      <w:pPr>
        <w:pStyle w:val="ListParagraph"/>
        <w:numPr>
          <w:ilvl w:val="0"/>
          <w:numId w:val="2"/>
        </w:numPr>
        <w:spacing w:after="60"/>
      </w:pPr>
      <w:r>
        <w:rPr>
          <w:rFonts w:ascii="Arial" w:cs="Arial" w:eastAsia="Arial" w:hAnsi="Arial"/>
          <w:sz w:val="20"/>
          <w:szCs w:val="20"/>
        </w:rPr>
        <w:t xml:space="preserve">Ajouter un lint rule interdisant les nouveaux « any » (typescript-eslint/no-explicit-any)</w:t>
      </w:r>
    </w:p>
    <w:p>
      <w:pPr>
        <w:pStyle w:val="ListParagraph"/>
        <w:numPr>
          <w:ilvl w:val="0"/>
          <w:numId w:val="2"/>
        </w:numPr>
        <w:spacing w:after="60"/>
      </w:pPr>
      <w:r>
        <w:rPr>
          <w:rFonts w:ascii="Arial" w:cs="Arial" w:eastAsia="Arial" w:hAnsi="Arial"/>
          <w:sz w:val="20"/>
          <w:szCs w:val="20"/>
        </w:rPr>
        <w:t xml:space="preserve">Activer strict: true une fois le gros du travail fait</w:t>
      </w:r>
    </w:p>
    <w:p>
      <w:pPr>
        <w:spacing w:after="200"/>
      </w:pPr>
    </w:p>
    <w:p>
      <w:pPr>
        <w:pStyle w:val="Heading2"/>
      </w:pPr>
      <w:r>
        <w:rPr>
          <w:rFonts w:ascii="Arial" w:cs="Arial" w:eastAsia="Arial" w:hAnsi="Arial"/>
        </w:rPr>
        <w:t xml:space="preserve">A3 — Nettoyage des console.log et mise en place d’un logger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Priorité : </w:t>
            </w:r>
            <w:r>
              <w:rPr>
                <w:rFonts w:ascii="Arial" w:cs="Arial" w:eastAsia="Arial" w:hAnsi="Arial"/>
                <w:b/>
                <w:bCs/>
                <w:color w:val="E8A838"/>
                <w:sz w:val="20"/>
                <w:szCs w:val="20"/>
              </w:rPr>
              <w:t xml:space="preserve">HAUTE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Effort : </w:t>
            </w:r>
            <w:r>
              <w:rPr>
                <w:rFonts w:ascii="Arial" w:cs="Arial" w:eastAsia="Arial" w:hAnsi="Arial"/>
                <w:sz w:val="20"/>
                <w:szCs w:val="20"/>
              </w:rPr>
              <w:t xml:space="preserve">3-5 jours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Impact : </w:t>
            </w:r>
            <w:r>
              <w:rPr>
                <w:rFonts w:ascii="Arial" w:cs="Arial" w:eastAsia="Arial" w:hAnsi="Arial"/>
                <w:sz w:val="20"/>
                <w:szCs w:val="20"/>
              </w:rPr>
              <w:t xml:space="preserve">Moyen-élevé</w:t>
            </w:r>
          </w:p>
        </w:tc>
      </w:tr>
    </w:tbl>
    <w:p>
      <w:pPr>
        <w:spacing w:after="120"/>
      </w:pPr>
    </w:p>
    <w:p>
      <w:pPr>
        <w:spacing w:after="120"/>
      </w:pPr>
      <w:r>
        <w:rPr>
          <w:rFonts w:ascii="Arial" w:cs="Arial" w:eastAsia="Arial" w:hAnsi="Arial"/>
          <w:color w:val="1A1A1A"/>
          <w:sz w:val="22"/>
          <w:szCs w:val="22"/>
        </w:rPr>
        <w:t xml:space="preserve">Plus de 100 instructions console.log sont présentes dans le code. En production, elles peuvent exposer des données sensibles et polluent la console. Un système de logging structuré est nécessaire.</w:t>
      </w:r>
    </w:p>
    <w:p>
      <w:pPr>
        <w:spacing w:after="80"/>
      </w:pPr>
    </w:p>
    <w:p>
      <w:pPr>
        <w:spacing w:after="120"/>
      </w:pPr>
      <w:r>
        <w:rPr>
          <w:rFonts w:ascii="Arial" w:cs="Arial" w:eastAsia="Arial" w:hAnsi="Arial"/>
          <w:b/>
          <w:bCs/>
          <w:color w:val="1A1A1A"/>
          <w:sz w:val="22"/>
          <w:szCs w:val="22"/>
        </w:rPr>
        <w:t xml:space="preserve">Étapes de mise en œuvre :</w:t>
      </w:r>
    </w:p>
    <w:p>
      <w:pPr>
        <w:pStyle w:val="ListParagraph"/>
        <w:numPr>
          <w:ilvl w:val="0"/>
          <w:numId w:val="2"/>
        </w:numPr>
        <w:spacing w:after="60"/>
      </w:pPr>
      <w:r>
        <w:rPr>
          <w:rFonts w:ascii="Arial" w:cs="Arial" w:eastAsia="Arial" w:hAnsi="Arial"/>
          <w:sz w:val="20"/>
          <w:szCs w:val="20"/>
        </w:rPr>
        <w:t xml:space="preserve">Créer un module logger avec niveaux (debug, info, warn, error)</w:t>
      </w:r>
    </w:p>
    <w:p>
      <w:pPr>
        <w:pStyle w:val="ListParagraph"/>
        <w:numPr>
          <w:ilvl w:val="0"/>
          <w:numId w:val="2"/>
        </w:numPr>
        <w:spacing w:after="60"/>
      </w:pPr>
      <w:r>
        <w:rPr>
          <w:rFonts w:ascii="Arial" w:cs="Arial" w:eastAsia="Arial" w:hAnsi="Arial"/>
          <w:sz w:val="20"/>
          <w:szCs w:val="20"/>
        </w:rPr>
        <w:t xml:space="preserve">Configurer le logger pour être silencieux en production (sauf warn/error)</w:t>
      </w:r>
    </w:p>
    <w:p>
      <w:pPr>
        <w:pStyle w:val="ListParagraph"/>
        <w:numPr>
          <w:ilvl w:val="0"/>
          <w:numId w:val="2"/>
        </w:numPr>
        <w:spacing w:after="60"/>
      </w:pPr>
      <w:r>
        <w:rPr>
          <w:rFonts w:ascii="Arial" w:cs="Arial" w:eastAsia="Arial" w:hAnsi="Arial"/>
          <w:sz w:val="20"/>
          <w:szCs w:val="20"/>
        </w:rPr>
        <w:t xml:space="preserve">Remplacer tous les console.log par des appels au logger (recherche globale)</w:t>
      </w:r>
    </w:p>
    <w:p>
      <w:pPr>
        <w:pStyle w:val="ListParagraph"/>
        <w:numPr>
          <w:ilvl w:val="0"/>
          <w:numId w:val="2"/>
        </w:numPr>
        <w:spacing w:after="60"/>
      </w:pPr>
      <w:r>
        <w:rPr>
          <w:rFonts w:ascii="Arial" w:cs="Arial" w:eastAsia="Arial" w:hAnsi="Arial"/>
          <w:sz w:val="20"/>
          <w:szCs w:val="20"/>
        </w:rPr>
        <w:t xml:space="preserve">Ajouter une règle ESLint no-console pour prévenir les régressions</w:t>
      </w:r>
    </w:p>
    <w:p>
      <w:pPr>
        <w:pStyle w:val="ListParagraph"/>
        <w:numPr>
          <w:ilvl w:val="0"/>
          <w:numId w:val="2"/>
        </w:numPr>
        <w:spacing w:after="60"/>
      </w:pPr>
      <w:r>
        <w:rPr>
          <w:rFonts w:ascii="Arial" w:cs="Arial" w:eastAsia="Arial" w:hAnsi="Arial"/>
          <w:sz w:val="20"/>
          <w:szCs w:val="20"/>
        </w:rPr>
        <w:t xml:space="preserve">Optionnel : connecter le logger à un service externe (cf. A4)</w:t>
      </w:r>
    </w:p>
    <w:p>
      <w:pPr>
        <w:spacing w:after="200"/>
      </w:pPr>
    </w:p>
    <w:p>
      <w:pPr>
        <w:pStyle w:val="Heading2"/>
      </w:pPr>
      <w:r>
        <w:rPr>
          <w:rFonts w:ascii="Arial" w:cs="Arial" w:eastAsia="Arial" w:hAnsi="Arial"/>
        </w:rPr>
        <w:t xml:space="preserve">A4 — Monitoring et observabilité</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Priorité : </w:t>
            </w:r>
            <w:r>
              <w:rPr>
                <w:rFonts w:ascii="Arial" w:cs="Arial" w:eastAsia="Arial" w:hAnsi="Arial"/>
                <w:b/>
                <w:bCs/>
                <w:color w:val="E8A838"/>
                <w:sz w:val="20"/>
                <w:szCs w:val="20"/>
              </w:rPr>
              <w:t xml:space="preserve">HAUTE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Effort : </w:t>
            </w:r>
            <w:r>
              <w:rPr>
                <w:rFonts w:ascii="Arial" w:cs="Arial" w:eastAsia="Arial" w:hAnsi="Arial"/>
                <w:sz w:val="20"/>
                <w:szCs w:val="20"/>
              </w:rPr>
              <w:t xml:space="preserve">1-2 semaines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Impact : </w:t>
            </w:r>
            <w:r>
              <w:rPr>
                <w:rFonts w:ascii="Arial" w:cs="Arial" w:eastAsia="Arial" w:hAnsi="Arial"/>
                <w:sz w:val="20"/>
                <w:szCs w:val="20"/>
              </w:rPr>
              <w:t xml:space="preserve">Élevé</w:t>
            </w:r>
          </w:p>
        </w:tc>
      </w:tr>
    </w:tbl>
    <w:p>
      <w:pPr>
        <w:spacing w:after="120"/>
      </w:pPr>
    </w:p>
    <w:p>
      <w:pPr>
        <w:spacing w:after="120"/>
      </w:pPr>
      <w:r>
        <w:rPr>
          <w:rFonts w:ascii="Arial" w:cs="Arial" w:eastAsia="Arial" w:hAnsi="Arial"/>
          <w:color w:val="1A1A1A"/>
          <w:sz w:val="22"/>
          <w:szCs w:val="22"/>
        </w:rPr>
        <w:t xml:space="preserve">Aucun outil de monitoring n’est en place. Les erreurs en production passent inaperçues. La taille du bundle n’est pas surveillée. Il est essentiel d’avoir une visibilité sur la santé de l’application.</w:t>
      </w:r>
    </w:p>
    <w:p>
      <w:pPr>
        <w:spacing w:after="80"/>
      </w:pPr>
    </w:p>
    <w:p>
      <w:pPr>
        <w:spacing w:after="120"/>
      </w:pPr>
      <w:r>
        <w:rPr>
          <w:rFonts w:ascii="Arial" w:cs="Arial" w:eastAsia="Arial" w:hAnsi="Arial"/>
          <w:b/>
          <w:bCs/>
          <w:color w:val="1A1A1A"/>
          <w:sz w:val="22"/>
          <w:szCs w:val="22"/>
        </w:rPr>
        <w:t xml:space="preserve">Étapes de mise en œuvre :</w:t>
      </w:r>
    </w:p>
    <w:p>
      <w:pPr>
        <w:pStyle w:val="ListParagraph"/>
        <w:numPr>
          <w:ilvl w:val="0"/>
          <w:numId w:val="2"/>
        </w:numPr>
        <w:spacing w:after="60"/>
      </w:pPr>
      <w:r>
        <w:rPr>
          <w:rFonts w:ascii="Arial" w:cs="Arial" w:eastAsia="Arial" w:hAnsi="Arial"/>
          <w:sz w:val="20"/>
          <w:szCs w:val="20"/>
        </w:rPr>
        <w:t xml:space="preserve">Intégrer Sentry (ou alternative) pour le suivi des erreurs frontend</w:t>
      </w:r>
    </w:p>
    <w:p>
      <w:pPr>
        <w:pStyle w:val="ListParagraph"/>
        <w:numPr>
          <w:ilvl w:val="0"/>
          <w:numId w:val="2"/>
        </w:numPr>
        <w:spacing w:after="60"/>
      </w:pPr>
      <w:r>
        <w:rPr>
          <w:rFonts w:ascii="Arial" w:cs="Arial" w:eastAsia="Arial" w:hAnsi="Arial"/>
          <w:sz w:val="20"/>
          <w:szCs w:val="20"/>
        </w:rPr>
        <w:t xml:space="preserve">Configurer des alertes pour les erreurs critiques (auth, paiements, bookings)</w:t>
      </w:r>
    </w:p>
    <w:p>
      <w:pPr>
        <w:pStyle w:val="ListParagraph"/>
        <w:numPr>
          <w:ilvl w:val="0"/>
          <w:numId w:val="2"/>
        </w:numPr>
        <w:spacing w:after="60"/>
      </w:pPr>
      <w:r>
        <w:rPr>
          <w:rFonts w:ascii="Arial" w:cs="Arial" w:eastAsia="Arial" w:hAnsi="Arial"/>
          <w:sz w:val="20"/>
          <w:szCs w:val="20"/>
        </w:rPr>
        <w:t xml:space="preserve">Ajouter des Web Vitals (LCP, FID, CLS) via web-vitals ou Lighthouse CI</w:t>
      </w:r>
    </w:p>
    <w:p>
      <w:pPr>
        <w:pStyle w:val="ListParagraph"/>
        <w:numPr>
          <w:ilvl w:val="0"/>
          <w:numId w:val="2"/>
        </w:numPr>
        <w:spacing w:after="60"/>
      </w:pPr>
      <w:r>
        <w:rPr>
          <w:rFonts w:ascii="Arial" w:cs="Arial" w:eastAsia="Arial" w:hAnsi="Arial"/>
          <w:sz w:val="20"/>
          <w:szCs w:val="20"/>
        </w:rPr>
        <w:t xml:space="preserve">Mettre en place un dashboard Supabase pour surveiller les requêtes lentes</w:t>
      </w:r>
    </w:p>
    <w:p>
      <w:pPr>
        <w:pStyle w:val="ListParagraph"/>
        <w:numPr>
          <w:ilvl w:val="0"/>
          <w:numId w:val="2"/>
        </w:numPr>
        <w:spacing w:after="60"/>
      </w:pPr>
      <w:r>
        <w:rPr>
          <w:rFonts w:ascii="Arial" w:cs="Arial" w:eastAsia="Arial" w:hAnsi="Arial"/>
          <w:sz w:val="20"/>
          <w:szCs w:val="20"/>
        </w:rPr>
        <w:t xml:space="preserve">Analyser la taille du bundle (vite-plugin-visualizer) et fixer des budgets</w:t>
      </w:r>
    </w:p>
    <w:p>
      <w:pPr>
        <w:spacing w:after="200"/>
      </w:pPr>
    </w:p>
    <w:p>
      <w:pPr>
        <w:pStyle w:val="Heading2"/>
      </w:pPr>
      <w:r>
        <w:rPr>
          <w:rFonts w:ascii="Arial" w:cs="Arial" w:eastAsia="Arial" w:hAnsi="Arial"/>
        </w:rPr>
        <w:t xml:space="preserve">A5 — Documentation d’architecture et d’API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Priorité : </w:t>
            </w:r>
            <w:r>
              <w:rPr>
                <w:rFonts w:ascii="Arial" w:cs="Arial" w:eastAsia="Arial" w:hAnsi="Arial"/>
                <w:b/>
                <w:bCs/>
                <w:color w:val="2E75B6"/>
                <w:sz w:val="20"/>
                <w:szCs w:val="20"/>
              </w:rPr>
              <w:t xml:space="preserve">MOYENNE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Effort : </w:t>
            </w:r>
            <w:r>
              <w:rPr>
                <w:rFonts w:ascii="Arial" w:cs="Arial" w:eastAsia="Arial" w:hAnsi="Arial"/>
                <w:sz w:val="20"/>
                <w:szCs w:val="20"/>
              </w:rPr>
              <w:t xml:space="preserve">1-2 semaines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Impact : </w:t>
            </w:r>
            <w:r>
              <w:rPr>
                <w:rFonts w:ascii="Arial" w:cs="Arial" w:eastAsia="Arial" w:hAnsi="Arial"/>
                <w:sz w:val="20"/>
                <w:szCs w:val="20"/>
              </w:rPr>
              <w:t xml:space="preserve">Moyen</w:t>
            </w:r>
          </w:p>
        </w:tc>
      </w:tr>
    </w:tbl>
    <w:p>
      <w:pPr>
        <w:spacing w:after="120"/>
      </w:pPr>
    </w:p>
    <w:p>
      <w:pPr>
        <w:spacing w:after="120"/>
      </w:pPr>
      <w:r>
        <w:rPr>
          <w:rFonts w:ascii="Arial" w:cs="Arial" w:eastAsia="Arial" w:hAnsi="Arial"/>
          <w:color w:val="1A1A1A"/>
          <w:sz w:val="22"/>
          <w:szCs w:val="22"/>
        </w:rPr>
        <w:t xml:space="preserve">Le README est un template générique Lovable. Il n’existe aucune documentation d’architecture, de schéma de base de données, ni de catalogue de composants. Cela rend l’onboarding de nouveaux développeurs difficile.</w:t>
      </w:r>
    </w:p>
    <w:p>
      <w:pPr>
        <w:spacing w:after="80"/>
      </w:pPr>
    </w:p>
    <w:p>
      <w:pPr>
        <w:spacing w:after="120"/>
      </w:pPr>
      <w:r>
        <w:rPr>
          <w:rFonts w:ascii="Arial" w:cs="Arial" w:eastAsia="Arial" w:hAnsi="Arial"/>
          <w:b/>
          <w:bCs/>
          <w:color w:val="1A1A1A"/>
          <w:sz w:val="22"/>
          <w:szCs w:val="22"/>
        </w:rPr>
        <w:t xml:space="preserve">Étapes de mise en œuvre :</w:t>
      </w:r>
    </w:p>
    <w:p>
      <w:pPr>
        <w:pStyle w:val="ListParagraph"/>
        <w:numPr>
          <w:ilvl w:val="0"/>
          <w:numId w:val="2"/>
        </w:numPr>
        <w:spacing w:after="60"/>
      </w:pPr>
      <w:r>
        <w:rPr>
          <w:rFonts w:ascii="Arial" w:cs="Arial" w:eastAsia="Arial" w:hAnsi="Arial"/>
          <w:sz w:val="20"/>
          <w:szCs w:val="20"/>
        </w:rPr>
        <w:t xml:space="preserve">Réécrire le README avec l’architecture réelle, le setup local et les conventions</w:t>
      </w:r>
    </w:p>
    <w:p>
      <w:pPr>
        <w:pStyle w:val="ListParagraph"/>
        <w:numPr>
          <w:ilvl w:val="0"/>
          <w:numId w:val="2"/>
        </w:numPr>
        <w:spacing w:after="60"/>
      </w:pPr>
      <w:r>
        <w:rPr>
          <w:rFonts w:ascii="Arial" w:cs="Arial" w:eastAsia="Arial" w:hAnsi="Arial"/>
          <w:sz w:val="20"/>
          <w:szCs w:val="20"/>
        </w:rPr>
        <w:t xml:space="preserve">Créer un diagramme d’architecture (Mermaid ou draw.io)</w:t>
      </w:r>
    </w:p>
    <w:p>
      <w:pPr>
        <w:pStyle w:val="ListParagraph"/>
        <w:numPr>
          <w:ilvl w:val="0"/>
          <w:numId w:val="2"/>
        </w:numPr>
        <w:spacing w:after="60"/>
      </w:pPr>
      <w:r>
        <w:rPr>
          <w:rFonts w:ascii="Arial" w:cs="Arial" w:eastAsia="Arial" w:hAnsi="Arial"/>
          <w:sz w:val="20"/>
          <w:szCs w:val="20"/>
        </w:rPr>
        <w:t xml:space="preserve">Documenter les tables Supabase clés et leurs relations (ERD simplifié)</w:t>
      </w:r>
    </w:p>
    <w:p>
      <w:pPr>
        <w:pStyle w:val="ListParagraph"/>
        <w:numPr>
          <w:ilvl w:val="0"/>
          <w:numId w:val="2"/>
        </w:numPr>
        <w:spacing w:after="60"/>
      </w:pPr>
      <w:r>
        <w:rPr>
          <w:rFonts w:ascii="Arial" w:cs="Arial" w:eastAsia="Arial" w:hAnsi="Arial"/>
          <w:sz w:val="20"/>
          <w:szCs w:val="20"/>
        </w:rPr>
        <w:t xml:space="preserve">Lister les hooks custom avec leur usage et dépendances</w:t>
      </w:r>
    </w:p>
    <w:p>
      <w:pPr>
        <w:pStyle w:val="ListParagraph"/>
        <w:numPr>
          <w:ilvl w:val="0"/>
          <w:numId w:val="2"/>
        </w:numPr>
        <w:spacing w:after="60"/>
      </w:pPr>
      <w:r>
        <w:rPr>
          <w:rFonts w:ascii="Arial" w:cs="Arial" w:eastAsia="Arial" w:hAnsi="Arial"/>
          <w:sz w:val="20"/>
          <w:szCs w:val="20"/>
        </w:rPr>
        <w:t xml:space="preserve">Optionnel : mettre en place Storybook pour le catalogue de composants UI</w:t>
      </w:r>
    </w:p>
    <w:p>
      <w:pPr>
        <w:spacing w:after="200"/>
      </w:pPr>
    </w:p>
    <w:p>
      <w:pPr>
        <w:pStyle w:val="Heading2"/>
      </w:pPr>
      <w:r>
        <w:rPr>
          <w:rFonts w:ascii="Arial" w:cs="Arial" w:eastAsia="Arial" w:hAnsi="Arial"/>
        </w:rPr>
        <w:t xml:space="preserve">A6 — Audit de sécurité RLS et sanitisation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Priorité : </w:t>
            </w:r>
            <w:r>
              <w:rPr>
                <w:rFonts w:ascii="Arial" w:cs="Arial" w:eastAsia="Arial" w:hAnsi="Arial"/>
                <w:b/>
                <w:bCs/>
                <w:color w:val="C0392B"/>
                <w:sz w:val="20"/>
                <w:szCs w:val="20"/>
              </w:rPr>
              <w:t xml:space="preserve">CRITIQUE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Effort : </w:t>
            </w:r>
            <w:r>
              <w:rPr>
                <w:rFonts w:ascii="Arial" w:cs="Arial" w:eastAsia="Arial" w:hAnsi="Arial"/>
                <w:sz w:val="20"/>
                <w:szCs w:val="20"/>
              </w:rPr>
              <w:t xml:space="preserve">2-3 semaines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Impact : </w:t>
            </w:r>
            <w:r>
              <w:rPr>
                <w:rFonts w:ascii="Arial" w:cs="Arial" w:eastAsia="Arial" w:hAnsi="Arial"/>
                <w:sz w:val="20"/>
                <w:szCs w:val="20"/>
              </w:rPr>
              <w:t xml:space="preserve">Très élevé</w:t>
            </w:r>
          </w:p>
        </w:tc>
      </w:tr>
    </w:tbl>
    <w:p>
      <w:pPr>
        <w:spacing w:after="120"/>
      </w:pPr>
    </w:p>
    <w:p>
      <w:pPr>
        <w:spacing w:after="120"/>
      </w:pPr>
      <w:r>
        <w:rPr>
          <w:rFonts w:ascii="Arial" w:cs="Arial" w:eastAsia="Arial" w:hAnsi="Arial"/>
          <w:color w:val="1A1A1A"/>
          <w:sz w:val="22"/>
          <w:szCs w:val="22"/>
        </w:rPr>
        <w:t xml:space="preserve">Avec 257 tables et des politiques RLS complexes, un audit systématique est indispensable. Les migrations récentes montrent déjà des corrections de sécurité (XSS, exposition de données), ce qui suggère d’autres failles potentielles.</w:t>
      </w:r>
    </w:p>
    <w:p>
      <w:pPr>
        <w:spacing w:after="80"/>
      </w:pPr>
    </w:p>
    <w:p>
      <w:pPr>
        <w:spacing w:after="120"/>
      </w:pPr>
      <w:r>
        <w:rPr>
          <w:rFonts w:ascii="Arial" w:cs="Arial" w:eastAsia="Arial" w:hAnsi="Arial"/>
          <w:b/>
          <w:bCs/>
          <w:color w:val="1A1A1A"/>
          <w:sz w:val="22"/>
          <w:szCs w:val="22"/>
        </w:rPr>
        <w:t xml:space="preserve">Étapes de mise en œuvre :</w:t>
      </w:r>
    </w:p>
    <w:p>
      <w:pPr>
        <w:pStyle w:val="ListParagraph"/>
        <w:numPr>
          <w:ilvl w:val="0"/>
          <w:numId w:val="2"/>
        </w:numPr>
        <w:spacing w:after="60"/>
      </w:pPr>
      <w:r>
        <w:rPr>
          <w:rFonts w:ascii="Arial" w:cs="Arial" w:eastAsia="Arial" w:hAnsi="Arial"/>
          <w:sz w:val="20"/>
          <w:szCs w:val="20"/>
        </w:rPr>
        <w:t xml:space="preserve">Inventorier toutes les tables avec leurs politiques RLS actuelles</w:t>
      </w:r>
    </w:p>
    <w:p>
      <w:pPr>
        <w:pStyle w:val="ListParagraph"/>
        <w:numPr>
          <w:ilvl w:val="0"/>
          <w:numId w:val="2"/>
        </w:numPr>
        <w:spacing w:after="60"/>
      </w:pPr>
      <w:r>
        <w:rPr>
          <w:rFonts w:ascii="Arial" w:cs="Arial" w:eastAsia="Arial" w:hAnsi="Arial"/>
          <w:sz w:val="20"/>
          <w:szCs w:val="20"/>
        </w:rPr>
        <w:t xml:space="preserve">Identifier les tables sans RLS ou avec des politiques trop permissives</w:t>
      </w:r>
    </w:p>
    <w:p>
      <w:pPr>
        <w:pStyle w:val="ListParagraph"/>
        <w:numPr>
          <w:ilvl w:val="0"/>
          <w:numId w:val="2"/>
        </w:numPr>
        <w:spacing w:after="60"/>
      </w:pPr>
      <w:r>
        <w:rPr>
          <w:rFonts w:ascii="Arial" w:cs="Arial" w:eastAsia="Arial" w:hAnsi="Arial"/>
          <w:sz w:val="20"/>
          <w:szCs w:val="20"/>
        </w:rPr>
        <w:t xml:space="preserve">Tester les politiques RLS avec différents rôles (anon, authenticated, admin)</w:t>
      </w:r>
    </w:p>
    <w:p>
      <w:pPr>
        <w:pStyle w:val="ListParagraph"/>
        <w:numPr>
          <w:ilvl w:val="0"/>
          <w:numId w:val="2"/>
        </w:numPr>
        <w:spacing w:after="60"/>
      </w:pPr>
      <w:r>
        <w:rPr>
          <w:rFonts w:ascii="Arial" w:cs="Arial" w:eastAsia="Arial" w:hAnsi="Arial"/>
          <w:sz w:val="20"/>
          <w:szCs w:val="20"/>
        </w:rPr>
        <w:t xml:space="preserve">Auditer les fonctions Supabase (edge functions) pour les injections</w:t>
      </w:r>
    </w:p>
    <w:p>
      <w:pPr>
        <w:pStyle w:val="ListParagraph"/>
        <w:numPr>
          <w:ilvl w:val="0"/>
          <w:numId w:val="2"/>
        </w:numPr>
        <w:spacing w:after="60"/>
      </w:pPr>
      <w:r>
        <w:rPr>
          <w:rFonts w:ascii="Arial" w:cs="Arial" w:eastAsia="Arial" w:hAnsi="Arial"/>
          <w:sz w:val="20"/>
          <w:szCs w:val="20"/>
        </w:rPr>
        <w:t xml:space="preserve">Vérifier la sanitisation des entrées utilisateur (DOMPurify est présent mais est-il utilisé partout ?)</w:t>
      </w:r>
    </w:p>
    <w:p>
      <w:pPr>
        <w:pStyle w:val="ListParagraph"/>
        <w:numPr>
          <w:ilvl w:val="0"/>
          <w:numId w:val="2"/>
        </w:numPr>
        <w:spacing w:after="60"/>
      </w:pPr>
      <w:r>
        <w:rPr>
          <w:rFonts w:ascii="Arial" w:cs="Arial" w:eastAsia="Arial" w:hAnsi="Arial"/>
          <w:sz w:val="20"/>
          <w:szCs w:val="20"/>
        </w:rPr>
        <w:t xml:space="preserve">Documenter la matrice d’accès par rôle</w:t>
      </w:r>
    </w:p>
    <w:p>
      <w:pPr>
        <w:spacing w:after="200"/>
      </w:pPr>
    </w:p>
    <w:p>
      <w:pPr>
        <w:pStyle w:val="Heading2"/>
      </w:pPr>
      <w:r>
        <w:rPr>
          <w:rFonts w:ascii="Arial" w:cs="Arial" w:eastAsia="Arial" w:hAnsi="Arial"/>
        </w:rPr>
        <w:t xml:space="preserve">A7 — Audit d’accessibilité WCAG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Priorité : </w:t>
            </w:r>
            <w:r>
              <w:rPr>
                <w:rFonts w:ascii="Arial" w:cs="Arial" w:eastAsia="Arial" w:hAnsi="Arial"/>
                <w:b/>
                <w:bCs/>
                <w:color w:val="2E75B6"/>
                <w:sz w:val="20"/>
                <w:szCs w:val="20"/>
              </w:rPr>
              <w:t xml:space="preserve">MOYENNE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Effort : </w:t>
            </w:r>
            <w:r>
              <w:rPr>
                <w:rFonts w:ascii="Arial" w:cs="Arial" w:eastAsia="Arial" w:hAnsi="Arial"/>
                <w:sz w:val="20"/>
                <w:szCs w:val="20"/>
              </w:rPr>
              <w:t xml:space="preserve">1-2 semaines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Impact : </w:t>
            </w:r>
            <w:r>
              <w:rPr>
                <w:rFonts w:ascii="Arial" w:cs="Arial" w:eastAsia="Arial" w:hAnsi="Arial"/>
                <w:sz w:val="20"/>
                <w:szCs w:val="20"/>
              </w:rPr>
              <w:t xml:space="preserve">Moyen</w:t>
            </w:r>
          </w:p>
        </w:tc>
      </w:tr>
    </w:tbl>
    <w:p>
      <w:pPr>
        <w:spacing w:after="120"/>
      </w:pPr>
    </w:p>
    <w:p>
      <w:pPr>
        <w:spacing w:after="120"/>
      </w:pPr>
      <w:r>
        <w:rPr>
          <w:rFonts w:ascii="Arial" w:cs="Arial" w:eastAsia="Arial" w:hAnsi="Arial"/>
          <w:color w:val="1A1A1A"/>
          <w:sz w:val="22"/>
          <w:szCs w:val="22"/>
        </w:rPr>
        <w:t xml:space="preserve">Le portail utilise de nombreux composants custom. Bien que shadcn/ui offre une base accessible (Radix UI), les composants métier n’ont probablement pas été audités. Pour un portail communautaire, l’accessibilité est un enjeu éthique et légal.</w:t>
      </w:r>
    </w:p>
    <w:p>
      <w:pPr>
        <w:spacing w:after="80"/>
      </w:pPr>
    </w:p>
    <w:p>
      <w:pPr>
        <w:spacing w:after="120"/>
      </w:pPr>
      <w:r>
        <w:rPr>
          <w:rFonts w:ascii="Arial" w:cs="Arial" w:eastAsia="Arial" w:hAnsi="Arial"/>
          <w:b/>
          <w:bCs/>
          <w:color w:val="1A1A1A"/>
          <w:sz w:val="22"/>
          <w:szCs w:val="22"/>
        </w:rPr>
        <w:t xml:space="preserve">Étapes de mise en œuvre :</w:t>
      </w:r>
    </w:p>
    <w:p>
      <w:pPr>
        <w:pStyle w:val="ListParagraph"/>
        <w:numPr>
          <w:ilvl w:val="0"/>
          <w:numId w:val="2"/>
        </w:numPr>
        <w:spacing w:after="60"/>
      </w:pPr>
      <w:r>
        <w:rPr>
          <w:rFonts w:ascii="Arial" w:cs="Arial" w:eastAsia="Arial" w:hAnsi="Arial"/>
          <w:sz w:val="20"/>
          <w:szCs w:val="20"/>
        </w:rPr>
        <w:t xml:space="preserve">Exécuter axe-core sur les pages principales (feed, quest, profile, admin)</w:t>
      </w:r>
    </w:p>
    <w:p>
      <w:pPr>
        <w:pStyle w:val="ListParagraph"/>
        <w:numPr>
          <w:ilvl w:val="0"/>
          <w:numId w:val="2"/>
        </w:numPr>
        <w:spacing w:after="60"/>
      </w:pPr>
      <w:r>
        <w:rPr>
          <w:rFonts w:ascii="Arial" w:cs="Arial" w:eastAsia="Arial" w:hAnsi="Arial"/>
          <w:sz w:val="20"/>
          <w:szCs w:val="20"/>
        </w:rPr>
        <w:t xml:space="preserve">Vérifier la navigation clavier sur tous les flux critiques</w:t>
      </w:r>
    </w:p>
    <w:p>
      <w:pPr>
        <w:pStyle w:val="ListParagraph"/>
        <w:numPr>
          <w:ilvl w:val="0"/>
          <w:numId w:val="2"/>
        </w:numPr>
        <w:spacing w:after="60"/>
      </w:pPr>
      <w:r>
        <w:rPr>
          <w:rFonts w:ascii="Arial" w:cs="Arial" w:eastAsia="Arial" w:hAnsi="Arial"/>
          <w:sz w:val="20"/>
          <w:szCs w:val="20"/>
        </w:rPr>
        <w:t xml:space="preserve">Auditer les contrastes de couleurs (mode clair et sombre)</w:t>
      </w:r>
    </w:p>
    <w:p>
      <w:pPr>
        <w:pStyle w:val="ListParagraph"/>
        <w:numPr>
          <w:ilvl w:val="0"/>
          <w:numId w:val="2"/>
        </w:numPr>
        <w:spacing w:after="60"/>
      </w:pPr>
      <w:r>
        <w:rPr>
          <w:rFonts w:ascii="Arial" w:cs="Arial" w:eastAsia="Arial" w:hAnsi="Arial"/>
          <w:sz w:val="20"/>
          <w:szCs w:val="20"/>
        </w:rPr>
        <w:t xml:space="preserve">Ajouter les attributs ARIA manquants sur les composants interactifs</w:t>
      </w:r>
    </w:p>
    <w:p>
      <w:pPr>
        <w:pStyle w:val="ListParagraph"/>
        <w:numPr>
          <w:ilvl w:val="0"/>
          <w:numId w:val="2"/>
        </w:numPr>
        <w:spacing w:after="60"/>
      </w:pPr>
      <w:r>
        <w:rPr>
          <w:rFonts w:ascii="Arial" w:cs="Arial" w:eastAsia="Arial" w:hAnsi="Arial"/>
          <w:sz w:val="20"/>
          <w:szCs w:val="20"/>
        </w:rPr>
        <w:t xml:space="preserve">Tester avec un lecteur d’écran (VoiceOver / NVDA) sur les parcours clés</w:t>
      </w:r>
    </w:p>
    <w:p>
      <w:pPr>
        <w:pStyle w:val="ListParagraph"/>
        <w:numPr>
          <w:ilvl w:val="0"/>
          <w:numId w:val="2"/>
        </w:numPr>
        <w:spacing w:after="60"/>
      </w:pPr>
      <w:r>
        <w:rPr>
          <w:rFonts w:ascii="Arial" w:cs="Arial" w:eastAsia="Arial" w:hAnsi="Arial"/>
          <w:sz w:val="20"/>
          <w:szCs w:val="20"/>
        </w:rPr>
        <w:t xml:space="preserve">Intégrer eslint-plugin-jsx-a11y dans la config ESLint</w:t>
      </w:r>
    </w:p>
    <w:p>
      <w:pPr>
        <w:spacing w:after="200"/>
      </w:pPr>
    </w:p>
    <w:p>
      <w:pPr>
        <w:pStyle w:val="Heading2"/>
      </w:pPr>
      <w:r>
        <w:rPr>
          <w:rFonts w:ascii="Arial" w:cs="Arial" w:eastAsia="Arial" w:hAnsi="Arial"/>
        </w:rPr>
        <w:t xml:space="preserve">A8 — Pipeline CI/CD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Priorité : </w:t>
            </w:r>
            <w:r>
              <w:rPr>
                <w:rFonts w:ascii="Arial" w:cs="Arial" w:eastAsia="Arial" w:hAnsi="Arial"/>
                <w:b/>
                <w:bCs/>
                <w:color w:val="E8A838"/>
                <w:sz w:val="20"/>
                <w:szCs w:val="20"/>
              </w:rPr>
              <w:t xml:space="preserve">HAUTE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Effort : </w:t>
            </w:r>
            <w:r>
              <w:rPr>
                <w:rFonts w:ascii="Arial" w:cs="Arial" w:eastAsia="Arial" w:hAnsi="Arial"/>
                <w:sz w:val="20"/>
                <w:szCs w:val="20"/>
              </w:rPr>
              <w:t xml:space="preserve">1 semaine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Impact : </w:t>
            </w:r>
            <w:r>
              <w:rPr>
                <w:rFonts w:ascii="Arial" w:cs="Arial" w:eastAsia="Arial" w:hAnsi="Arial"/>
                <w:sz w:val="20"/>
                <w:szCs w:val="20"/>
              </w:rPr>
              <w:t xml:space="preserve">Élevé</w:t>
            </w:r>
          </w:p>
        </w:tc>
      </w:tr>
    </w:tbl>
    <w:p>
      <w:pPr>
        <w:spacing w:after="120"/>
      </w:pPr>
    </w:p>
    <w:p>
      <w:pPr>
        <w:spacing w:after="120"/>
      </w:pPr>
      <w:r>
        <w:rPr>
          <w:rFonts w:ascii="Arial" w:cs="Arial" w:eastAsia="Arial" w:hAnsi="Arial"/>
          <w:color w:val="1A1A1A"/>
          <w:sz w:val="22"/>
          <w:szCs w:val="22"/>
        </w:rPr>
        <w:t xml:space="preserve">Aucun pipeline d’intégration continue n’est visible. Le déploiement semble entièrement géré par Lovable. Un pipeline CI permet de détecter les régressions avant le déploiement.</w:t>
      </w:r>
    </w:p>
    <w:p>
      <w:pPr>
        <w:spacing w:after="80"/>
      </w:pPr>
    </w:p>
    <w:p>
      <w:pPr>
        <w:spacing w:after="120"/>
      </w:pPr>
      <w:r>
        <w:rPr>
          <w:rFonts w:ascii="Arial" w:cs="Arial" w:eastAsia="Arial" w:hAnsi="Arial"/>
          <w:b/>
          <w:bCs/>
          <w:color w:val="1A1A1A"/>
          <w:sz w:val="22"/>
          <w:szCs w:val="22"/>
        </w:rPr>
        <w:t xml:space="preserve">Étapes de mise en œuvre :</w:t>
      </w:r>
    </w:p>
    <w:p>
      <w:pPr>
        <w:pStyle w:val="ListParagraph"/>
        <w:numPr>
          <w:ilvl w:val="0"/>
          <w:numId w:val="2"/>
        </w:numPr>
        <w:spacing w:after="60"/>
      </w:pPr>
      <w:r>
        <w:rPr>
          <w:rFonts w:ascii="Arial" w:cs="Arial" w:eastAsia="Arial" w:hAnsi="Arial"/>
          <w:sz w:val="20"/>
          <w:szCs w:val="20"/>
        </w:rPr>
        <w:t xml:space="preserve">Créer un workflow GitHub Actions pour : lint, type-check, tests, build</w:t>
      </w:r>
    </w:p>
    <w:p>
      <w:pPr>
        <w:pStyle w:val="ListParagraph"/>
        <w:numPr>
          <w:ilvl w:val="0"/>
          <w:numId w:val="2"/>
        </w:numPr>
        <w:spacing w:after="60"/>
      </w:pPr>
      <w:r>
        <w:rPr>
          <w:rFonts w:ascii="Arial" w:cs="Arial" w:eastAsia="Arial" w:hAnsi="Arial"/>
          <w:sz w:val="20"/>
          <w:szCs w:val="20"/>
        </w:rPr>
        <w:t xml:space="preserve">Ajouter des checks obligatoires sur les pull requests</w:t>
      </w:r>
    </w:p>
    <w:p>
      <w:pPr>
        <w:pStyle w:val="ListParagraph"/>
        <w:numPr>
          <w:ilvl w:val="0"/>
          <w:numId w:val="2"/>
        </w:numPr>
        <w:spacing w:after="60"/>
      </w:pPr>
      <w:r>
        <w:rPr>
          <w:rFonts w:ascii="Arial" w:cs="Arial" w:eastAsia="Arial" w:hAnsi="Arial"/>
          <w:sz w:val="20"/>
          <w:szCs w:val="20"/>
        </w:rPr>
        <w:t xml:space="preserve">Configurer le déploiement automatique (preview branches + production)</w:t>
      </w:r>
    </w:p>
    <w:p>
      <w:pPr>
        <w:pStyle w:val="ListParagraph"/>
        <w:numPr>
          <w:ilvl w:val="0"/>
          <w:numId w:val="2"/>
        </w:numPr>
        <w:spacing w:after="60"/>
      </w:pPr>
      <w:r>
        <w:rPr>
          <w:rFonts w:ascii="Arial" w:cs="Arial" w:eastAsia="Arial" w:hAnsi="Arial"/>
          <w:sz w:val="20"/>
          <w:szCs w:val="20"/>
        </w:rPr>
        <w:t xml:space="preserve">Ajouter un check de taille de bundle (budget performance)</w:t>
      </w:r>
    </w:p>
    <w:p>
      <w:pPr>
        <w:pStyle w:val="ListParagraph"/>
        <w:numPr>
          <w:ilvl w:val="0"/>
          <w:numId w:val="2"/>
        </w:numPr>
        <w:spacing w:after="60"/>
      </w:pPr>
      <w:r>
        <w:rPr>
          <w:rFonts w:ascii="Arial" w:cs="Arial" w:eastAsia="Arial" w:hAnsi="Arial"/>
          <w:sz w:val="20"/>
          <w:szCs w:val="20"/>
        </w:rPr>
        <w:t xml:space="preserve">Optionnel : ajouter des tests visuels (Chromatic, Percy)</w:t>
      </w:r>
    </w:p>
    <w:p>
      <w:pPr>
        <w:spacing w:after="200"/>
      </w:pPr>
    </w:p>
    <w:p>
      <w:pPr>
        <w:pStyle w:val="Heading2"/>
      </w:pPr>
      <w:r>
        <w:rPr>
          <w:rFonts w:ascii="Arial" w:cs="Arial" w:eastAsia="Arial" w:hAnsi="Arial"/>
        </w:rPr>
        <w:t xml:space="preserve">A9 — Gestion d’erreurs centralisée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Priorité : </w:t>
            </w:r>
            <w:r>
              <w:rPr>
                <w:rFonts w:ascii="Arial" w:cs="Arial" w:eastAsia="Arial" w:hAnsi="Arial"/>
                <w:b/>
                <w:bCs/>
                <w:color w:val="E8A838"/>
                <w:sz w:val="20"/>
                <w:szCs w:val="20"/>
              </w:rPr>
              <w:t xml:space="preserve">HAUTE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Effort : </w:t>
            </w:r>
            <w:r>
              <w:rPr>
                <w:rFonts w:ascii="Arial" w:cs="Arial" w:eastAsia="Arial" w:hAnsi="Arial"/>
                <w:sz w:val="20"/>
                <w:szCs w:val="20"/>
              </w:rPr>
              <w:t xml:space="preserve">1 semaine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Impact : </w:t>
            </w:r>
            <w:r>
              <w:rPr>
                <w:rFonts w:ascii="Arial" w:cs="Arial" w:eastAsia="Arial" w:hAnsi="Arial"/>
                <w:sz w:val="20"/>
                <w:szCs w:val="20"/>
              </w:rPr>
              <w:t xml:space="preserve">Moyen-élevé</w:t>
            </w:r>
          </w:p>
        </w:tc>
      </w:tr>
    </w:tbl>
    <w:p>
      <w:pPr>
        <w:spacing w:after="120"/>
      </w:pPr>
    </w:p>
    <w:p>
      <w:pPr>
        <w:spacing w:after="120"/>
      </w:pPr>
      <w:r>
        <w:rPr>
          <w:rFonts w:ascii="Arial" w:cs="Arial" w:eastAsia="Arial" w:hAnsi="Arial"/>
          <w:color w:val="1A1A1A"/>
          <w:sz w:val="22"/>
          <w:szCs w:val="22"/>
        </w:rPr>
        <w:t xml:space="preserve">Les erreurs sont gérées au cas par cas (try-catch + toast). Il manque des Error Boundaries React systématiques et une couche d’abstraction pour les erreurs Supabase.</w:t>
      </w:r>
    </w:p>
    <w:p>
      <w:pPr>
        <w:spacing w:after="80"/>
      </w:pPr>
    </w:p>
    <w:p>
      <w:pPr>
        <w:spacing w:after="120"/>
      </w:pPr>
      <w:r>
        <w:rPr>
          <w:rFonts w:ascii="Arial" w:cs="Arial" w:eastAsia="Arial" w:hAnsi="Arial"/>
          <w:b/>
          <w:bCs/>
          <w:color w:val="1A1A1A"/>
          <w:sz w:val="22"/>
          <w:szCs w:val="22"/>
        </w:rPr>
        <w:t xml:space="preserve">Étapes de mise en œuvre :</w:t>
      </w:r>
    </w:p>
    <w:p>
      <w:pPr>
        <w:pStyle w:val="ListParagraph"/>
        <w:numPr>
          <w:ilvl w:val="0"/>
          <w:numId w:val="2"/>
        </w:numPr>
        <w:spacing w:after="60"/>
      </w:pPr>
      <w:r>
        <w:rPr>
          <w:rFonts w:ascii="Arial" w:cs="Arial" w:eastAsia="Arial" w:hAnsi="Arial"/>
          <w:sz w:val="20"/>
          <w:szCs w:val="20"/>
        </w:rPr>
        <w:t xml:space="preserve">Créer un composant ErrorBoundary générique avec fallback UI</w:t>
      </w:r>
    </w:p>
    <w:p>
      <w:pPr>
        <w:pStyle w:val="ListParagraph"/>
        <w:numPr>
          <w:ilvl w:val="0"/>
          <w:numId w:val="2"/>
        </w:numPr>
        <w:spacing w:after="60"/>
      </w:pPr>
      <w:r>
        <w:rPr>
          <w:rFonts w:ascii="Arial" w:cs="Arial" w:eastAsia="Arial" w:hAnsi="Arial"/>
          <w:sz w:val="20"/>
          <w:szCs w:val="20"/>
        </w:rPr>
        <w:t xml:space="preserve">Placer des Error Boundaries autour des sections critiques (feed, quest, admin)</w:t>
      </w:r>
    </w:p>
    <w:p>
      <w:pPr>
        <w:pStyle w:val="ListParagraph"/>
        <w:numPr>
          <w:ilvl w:val="0"/>
          <w:numId w:val="2"/>
        </w:numPr>
        <w:spacing w:after="60"/>
      </w:pPr>
      <w:r>
        <w:rPr>
          <w:rFonts w:ascii="Arial" w:cs="Arial" w:eastAsia="Arial" w:hAnsi="Arial"/>
          <w:sz w:val="20"/>
          <w:szCs w:val="20"/>
        </w:rPr>
        <w:t xml:space="preserve">Créer un hook useSupabaseError pour centraliser le parsing des erreurs</w:t>
      </w:r>
    </w:p>
    <w:p>
      <w:pPr>
        <w:pStyle w:val="ListParagraph"/>
        <w:numPr>
          <w:ilvl w:val="0"/>
          <w:numId w:val="2"/>
        </w:numPr>
        <w:spacing w:after="60"/>
      </w:pPr>
      <w:r>
        <w:rPr>
          <w:rFonts w:ascii="Arial" w:cs="Arial" w:eastAsia="Arial" w:hAnsi="Arial"/>
          <w:sz w:val="20"/>
          <w:szCs w:val="20"/>
        </w:rPr>
        <w:t xml:space="preserve">Standardiser les messages d’erreur (i18n inclus)</w:t>
      </w:r>
    </w:p>
    <w:p>
      <w:pPr>
        <w:pStyle w:val="ListParagraph"/>
        <w:numPr>
          <w:ilvl w:val="0"/>
          <w:numId w:val="2"/>
        </w:numPr>
        <w:spacing w:after="60"/>
      </w:pPr>
      <w:r>
        <w:rPr>
          <w:rFonts w:ascii="Arial" w:cs="Arial" w:eastAsia="Arial" w:hAnsi="Arial"/>
          <w:sz w:val="20"/>
          <w:szCs w:val="20"/>
        </w:rPr>
        <w:t xml:space="preserve">Connecter les erreurs capturées au système de monitoring (cf. A4)</w:t>
      </w:r>
    </w:p>
    <w:p>
      <w:pPr>
        <w:spacing w:after="200"/>
      </w:pPr>
    </w:p>
    <w:p>
      <w:pPr>
        <w:pStyle w:val="Heading2"/>
      </w:pPr>
      <w:r>
        <w:rPr>
          <w:rFonts w:ascii="Arial" w:cs="Arial" w:eastAsia="Arial" w:hAnsi="Arial"/>
        </w:rPr>
        <w:t xml:space="preserve">A10 — Audit de complétude des fonctionnalités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Priorité : </w:t>
            </w:r>
            <w:r>
              <w:rPr>
                <w:rFonts w:ascii="Arial" w:cs="Arial" w:eastAsia="Arial" w:hAnsi="Arial"/>
                <w:b/>
                <w:bCs/>
                <w:color w:val="2E75B6"/>
                <w:sz w:val="20"/>
                <w:szCs w:val="20"/>
              </w:rPr>
              <w:t xml:space="preserve">MOYENNE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Effort : </w:t>
            </w:r>
            <w:r>
              <w:rPr>
                <w:rFonts w:ascii="Arial" w:cs="Arial" w:eastAsia="Arial" w:hAnsi="Arial"/>
                <w:sz w:val="20"/>
                <w:szCs w:val="20"/>
              </w:rPr>
              <w:t xml:space="preserve">1-2 semaines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Impact : </w:t>
            </w:r>
            <w:r>
              <w:rPr>
                <w:rFonts w:ascii="Arial" w:cs="Arial" w:eastAsia="Arial" w:hAnsi="Arial"/>
                <w:sz w:val="20"/>
                <w:szCs w:val="20"/>
              </w:rPr>
              <w:t xml:space="preserve">Moyen</w:t>
            </w:r>
          </w:p>
        </w:tc>
      </w:tr>
    </w:tbl>
    <w:p>
      <w:pPr>
        <w:spacing w:after="120"/>
      </w:pPr>
    </w:p>
    <w:p>
      <w:pPr>
        <w:spacing w:after="120"/>
      </w:pPr>
      <w:r>
        <w:rPr>
          <w:rFonts w:ascii="Arial" w:cs="Arial" w:eastAsia="Arial" w:hAnsi="Arial"/>
          <w:color w:val="1A1A1A"/>
          <w:sz w:val="22"/>
          <w:szCs w:val="22"/>
        </w:rPr>
        <w:t xml:space="preserve">Plusieurs fonctionnalités semblent partiellement implémentées : Natural Systems, OCU, certaines pages admin. Le système de feature flags existe mais n’est pas documenté.</w:t>
      </w:r>
    </w:p>
    <w:p>
      <w:pPr>
        <w:spacing w:after="80"/>
      </w:pPr>
    </w:p>
    <w:p>
      <w:pPr>
        <w:spacing w:after="120"/>
      </w:pPr>
      <w:r>
        <w:rPr>
          <w:rFonts w:ascii="Arial" w:cs="Arial" w:eastAsia="Arial" w:hAnsi="Arial"/>
          <w:b/>
          <w:bCs/>
          <w:color w:val="1A1A1A"/>
          <w:sz w:val="22"/>
          <w:szCs w:val="22"/>
        </w:rPr>
        <w:t xml:space="preserve">Étapes de mise en œuvre :</w:t>
      </w:r>
    </w:p>
    <w:p>
      <w:pPr>
        <w:pStyle w:val="ListParagraph"/>
        <w:numPr>
          <w:ilvl w:val="0"/>
          <w:numId w:val="2"/>
        </w:numPr>
        <w:spacing w:after="60"/>
      </w:pPr>
      <w:r>
        <w:rPr>
          <w:rFonts w:ascii="Arial" w:cs="Arial" w:eastAsia="Arial" w:hAnsi="Arial"/>
          <w:sz w:val="20"/>
          <w:szCs w:val="20"/>
        </w:rPr>
        <w:t xml:space="preserve">Lister tous les feature flags actifs et leur état (activé/désactivé)</w:t>
      </w:r>
    </w:p>
    <w:p>
      <w:pPr>
        <w:pStyle w:val="ListParagraph"/>
        <w:numPr>
          <w:ilvl w:val="0"/>
          <w:numId w:val="2"/>
        </w:numPr>
        <w:spacing w:after="60"/>
      </w:pPr>
      <w:r>
        <w:rPr>
          <w:rFonts w:ascii="Arial" w:cs="Arial" w:eastAsia="Arial" w:hAnsi="Arial"/>
          <w:sz w:val="20"/>
          <w:szCs w:val="20"/>
        </w:rPr>
        <w:t xml:space="preserve">Vérifier chaque page admin pour la complétude fonctionnelle</w:t>
      </w:r>
    </w:p>
    <w:p>
      <w:pPr>
        <w:pStyle w:val="ListParagraph"/>
        <w:numPr>
          <w:ilvl w:val="0"/>
          <w:numId w:val="2"/>
        </w:numPr>
        <w:spacing w:after="60"/>
      </w:pPr>
      <w:r>
        <w:rPr>
          <w:rFonts w:ascii="Arial" w:cs="Arial" w:eastAsia="Arial" w:hAnsi="Arial"/>
          <w:sz w:val="20"/>
          <w:szCs w:val="20"/>
        </w:rPr>
        <w:t xml:space="preserve">Tester les parcours utilisateur de bout en bout (onboarding, création quête, booking)</w:t>
      </w:r>
    </w:p>
    <w:p>
      <w:pPr>
        <w:pStyle w:val="ListParagraph"/>
        <w:numPr>
          <w:ilvl w:val="0"/>
          <w:numId w:val="2"/>
        </w:numPr>
        <w:spacing w:after="60"/>
      </w:pPr>
      <w:r>
        <w:rPr>
          <w:rFonts w:ascii="Arial" w:cs="Arial" w:eastAsia="Arial" w:hAnsi="Arial"/>
          <w:sz w:val="20"/>
          <w:szCs w:val="20"/>
        </w:rPr>
        <w:t xml:space="preserve">Identifier les écrans avec du contenu placeholder ou des sections vides</w:t>
      </w:r>
    </w:p>
    <w:p>
      <w:pPr>
        <w:pStyle w:val="ListParagraph"/>
        <w:numPr>
          <w:ilvl w:val="0"/>
          <w:numId w:val="2"/>
        </w:numPr>
        <w:spacing w:after="60"/>
      </w:pPr>
      <w:r>
        <w:rPr>
          <w:rFonts w:ascii="Arial" w:cs="Arial" w:eastAsia="Arial" w:hAnsi="Arial"/>
          <w:sz w:val="20"/>
          <w:szCs w:val="20"/>
        </w:rPr>
        <w:t xml:space="preserve">Prioriser les fonctionnalités à compléter vs. celles à retirer</w:t>
      </w:r>
    </w:p>
    <w:p>
      <w:pPr>
        <w:pStyle w:val="ListParagraph"/>
        <w:numPr>
          <w:ilvl w:val="0"/>
          <w:numId w:val="2"/>
        </w:numPr>
        <w:spacing w:after="60"/>
      </w:pPr>
      <w:r>
        <w:rPr>
          <w:rFonts w:ascii="Arial" w:cs="Arial" w:eastAsia="Arial" w:hAnsi="Arial"/>
          <w:sz w:val="20"/>
          <w:szCs w:val="20"/>
        </w:rPr>
        <w:t xml:space="preserve">Documenter la roadmap fonctionnelle mise à jour</w:t>
      </w:r>
    </w:p>
    <w:p>
      <w:pPr>
        <w:spacing w:after="200"/>
      </w:pPr>
    </w:p>
    <w:p>
      <w:r>
        <w:br w:type="page"/>
      </w:r>
    </w:p>
    <w:p>
      <w:pPr>
        <w:pStyle w:val="Heading1"/>
      </w:pPr>
      <w:r>
        <w:rPr>
          <w:rFonts w:ascii="Arial" w:cs="Arial" w:eastAsia="Arial" w:hAnsi="Arial"/>
        </w:rPr>
        <w:t xml:space="preserve">Recommandations finales</w:t>
      </w:r>
    </w:p>
    <w:p>
      <w:pPr>
        <w:spacing w:after="120"/>
      </w:pPr>
      <w:r>
        <w:rPr>
          <w:rFonts w:ascii="Arial" w:cs="Arial" w:eastAsia="Arial" w:hAnsi="Arial"/>
          <w:color w:val="1A1A1A"/>
          <w:sz w:val="22"/>
          <w:szCs w:val="22"/>
        </w:rPr>
        <w:t xml:space="preserve">Ce plan d’action adresse les 10 principales zones d’ombre identifiées dans le projet changethegame. Voici les points clés à retenir :</w:t>
      </w:r>
    </w:p>
    <w:p>
      <w:pPr>
        <w:spacing w:after="80"/>
      </w:pPr>
    </w:p>
    <w:p>
      <w:pPr>
        <w:spacing w:after="120"/>
      </w:pPr>
      <w:r>
        <w:rPr>
          <w:rFonts w:ascii="Arial" w:cs="Arial" w:eastAsia="Arial" w:hAnsi="Arial"/>
          <w:b w:val="false"/>
          <w:bCs w:val="false"/>
          <w:color w:val="1A1A1A"/>
          <w:sz w:val="22"/>
          <w:szCs w:val="22"/>
        </w:rPr>
        <w:t xml:space="preserve">Démarrer par la Phase 1 (stabilisation) est essentiel. Le nettoyage des console.log (A3) et la mise en place du CI/CD (A8) sont des quick wins qui protègent immédiatement contre les régressions. L’audit RLS (A6) est la priorité sécuritaire n°1.</w:t>
      </w:r>
    </w:p>
    <w:p>
      <w:pPr>
        <w:spacing w:after="60"/>
      </w:pPr>
    </w:p>
    <w:p>
      <w:pPr>
        <w:spacing w:after="120"/>
      </w:pPr>
      <w:r>
        <w:rPr>
          <w:rFonts w:ascii="Arial" w:cs="Arial" w:eastAsia="Arial" w:hAnsi="Arial"/>
          <w:b w:val="false"/>
          <w:bCs w:val="false"/>
          <w:color w:val="1A1A1A"/>
          <w:sz w:val="22"/>
          <w:szCs w:val="22"/>
        </w:rPr>
        <w:t xml:space="preserve">La Phase 2 construit les fondations durables. Les tests (A1) et le TypeScript strict (A2) réduisent drastiquement le risque de bugs. Le monitoring (A4) donne la visibilité nécessaire pour opérer sereinement en production.</w:t>
      </w:r>
    </w:p>
    <w:p>
      <w:pPr>
        <w:spacing w:after="60"/>
      </w:pPr>
    </w:p>
    <w:p>
      <w:pPr>
        <w:spacing w:after="120"/>
      </w:pPr>
      <w:r>
        <w:rPr>
          <w:rFonts w:ascii="Arial" w:cs="Arial" w:eastAsia="Arial" w:hAnsi="Arial"/>
          <w:b w:val="false"/>
          <w:bCs w:val="false"/>
          <w:color w:val="1A1A1A"/>
          <w:sz w:val="22"/>
          <w:szCs w:val="22"/>
        </w:rPr>
        <w:t xml:space="preserve">La Phase 3 amène le projet à un niveau professionnel. La documentation (A5), l’accessibilité (A7) et l’audit fonctionnel (A10) assurent la pérennité et l’inclusivité du portail.</w:t>
      </w:r>
    </w:p>
    <w:p>
      <w:pPr>
        <w:spacing w:after="200"/>
      </w:pPr>
    </w:p>
    <w:p>
      <w:pPr>
        <w:spacing w:after="120"/>
      </w:pPr>
      <w:r>
        <w:rPr>
          <w:rFonts w:ascii="Arial" w:cs="Arial" w:eastAsia="Arial" w:hAnsi="Arial"/>
          <w:i/>
          <w:iCs/>
          <w:color w:val="555555"/>
          <w:sz w:val="22"/>
          <w:szCs w:val="22"/>
        </w:rPr>
        <w:t xml:space="preserve">Ce plan est évolutif. Chaque action peut être adaptée en fonction des ressources disponibles et des priorités métier. L’essentiel est de maintenir un élan continu d’amélioration.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A3A5C"/>
        <w:sz w:val="16"/>
        <w:szCs w:val="16"/>
      </w:rPr>
      <w:t xml:space="preserve">CHANGETHEGAME </w:t>
    </w:r>
    <w:r>
      <w:rPr>
        <w:rFonts w:ascii="Arial" w:cs="Arial" w:eastAsia="Arial" w:hAnsi="Arial"/>
        <w:color w:val="888888"/>
        <w:sz w:val="16"/>
        <w:szCs w:val="16"/>
      </w:rPr>
      <w:t xml:space="preserve">| Plan d’action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2026-03-11T14:02:38.773Z</dcterms:created>
  <dcterms:modified xsi:type="dcterms:W3CDTF">2026-03-11T14:02:38.773Z</dcterms:modified>
</cp:coreProperties>
</file>

<file path=docProps/custom.xml><?xml version="1.0" encoding="utf-8"?>
<Properties xmlns="http://schemas.openxmlformats.org/officeDocument/2006/custom-properties" xmlns:vt="http://schemas.openxmlformats.org/officeDocument/2006/docPropsVTypes"/>
</file>