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LDC-PAD-WI-004 พัฒนาบุคลากรตาม CC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กำหนดเกณฑ์ CC</w:t>
      </w:r>
    </w:p>
    <w:p>
      <w:r>
        <w:t>2. ประเมิน CC</w:t>
      </w:r>
    </w:p>
    <w:p>
      <w:r>
        <w:t>3. วิเคราะห์ช่องว่าง</w:t>
      </w:r>
    </w:p>
    <w:p>
      <w:r>
        <w:t>4. กำหนดแผนพัฒนา</w:t>
      </w:r>
    </w:p>
    <w:p>
      <w:r>
        <w:t>5. ดำเนินการพัฒนา</w:t>
      </w:r>
    </w:p>
    <w:p>
      <w:r>
        <w:t>6. ประเมินผล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กำหนดเกณฑ์ CC → Template</w:t>
      </w:r>
    </w:p>
    <w:p>
      <w:r>
        <w:t>• ประเมิน+วิเคราะห์ → 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