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LDC-PAD-WI-005 ซื้อ MSP</w:t>
      </w:r>
    </w:p>
    <w:p>
      <w:pPr>
        <w:jc w:val="center"/>
      </w:pPr>
      <w:r>
        <w:rPr>
          <w:color w:val="666666"/>
          <w:sz w:val="18"/>
        </w:rPr>
        <w:t>แผนก: PAD (People Administration &amp; Development)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ลงทุน 21CT</w:t>
      </w:r>
    </w:p>
    <w:p>
      <w:r>
        <w:t>2. กองทุนส่งเงิน</w:t>
      </w:r>
    </w:p>
    <w:p>
      <w:r>
        <w:t>3. 21CT รับเงิน</w:t>
      </w:r>
    </w:p>
    <w:p>
      <w:r>
        <w:t>4. ผลิต MSP</w:t>
      </w:r>
    </w:p>
    <w:p>
      <w:r>
        <w:t>5. ลงทะเบียน OGC Team</w:t>
      </w:r>
    </w:p>
    <w:p>
      <w:r>
        <w:t>6. ประกาศ MSP POI</w:t>
      </w:r>
    </w:p>
    <w:p>
      <w:r>
        <w:t>7. เบิกเงิน BU</w:t>
      </w:r>
    </w:p>
    <w:p>
      <w:r>
        <w:t>8. จ่ายเงิน AGS</w:t>
      </w:r>
    </w:p>
    <w:p>
      <w:r>
        <w:t>9. ส่ง MSP เข้า Wallet</w:t>
      </w:r>
    </w:p>
    <w:p>
      <w:r>
        <w:t>10. Cashout</w:t>
      </w:r>
    </w:p>
    <w:p>
      <w:r>
        <w:t>11. โอน Fiat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ลงทุน+ผลิต MSP → รวมขั้นตอนเดียว</w:t>
      </w:r>
    </w:p>
    <w:p>
      <w:r>
        <w:t>• ลงทะเบียน+ประกาศ → ครั้งเดียว</w:t>
      </w:r>
    </w:p>
    <w:p>
      <w:r>
        <w:t>• เบิก+จ่าย → อัตโนมัติ</w:t>
      </w:r>
    </w:p>
    <w:p>
      <w:r>
        <w:t>• ส่ง MSP+Cashout → อัตโนมัติ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(ไม่มีข้อมูล)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PAD (People Administration &amp; Development)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