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LDC-PAD-WI-006 การวัดผลทุนมนุษย์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กำหนดเกณฑ์วัด</w:t>
      </w:r>
    </w:p>
    <w:p>
      <w:r>
        <w:t>2. สร้างเครื่องมือ</w:t>
      </w:r>
    </w:p>
    <w:p>
      <w:r>
        <w:t>3. เก็บข้อมูล</w:t>
      </w:r>
    </w:p>
    <w:p>
      <w:r>
        <w:t>4. วิเคราะห์ผล</w:t>
      </w:r>
    </w:p>
    <w:p>
      <w:r>
        <w:t>5. สรุปผล</w:t>
      </w:r>
    </w:p>
    <w:p>
      <w:r>
        <w:t>6. แจ้งผล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กำหนดเกณฑ์+สร้างเครื่องมือ → Template</w:t>
      </w:r>
    </w:p>
    <w:p>
      <w:r>
        <w:t>• เก็บ+วิเคราะห์ → 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