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  <w:sz w:val="24"/>
        </w:rPr>
        <w:t>Решения для исследовательского режима LMB BioAge</w:t>
      </w:r>
    </w:p>
    <w:p>
      <w:r>
        <w:rPr>
          <w:rFonts w:ascii="Times New Roman" w:hAnsi="Times New Roman"/>
          <w:color w:val="000000"/>
          <w:sz w:val="24"/>
        </w:rPr>
        <w:t>Инструкция для Claude и полный набор HeartScore • 11 октября 2026 года</w:t>
      </w:r>
    </w:p>
    <w:p>
      <w:r>
        <w:rPr>
          <w:rFonts w:ascii="Times New Roman" w:hAnsi="Times New Roman"/>
          <w:color w:val="000000"/>
          <w:sz w:val="24"/>
        </w:rPr>
        <w:t>Рекомендация для текущего этапа: воспроизвести неизменённую авторскую конфигурацию v0.3 на синтетических данных в локальном режиме. Показывать численный итог отдельно как исследовательский расчёт. Ниже заданы техническая область тестирования, ограничения двух нормализаций и порядок подключения всех 30 контрольных случаев.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1 Область локального тестирования</w:t>
      </w:r>
    </w:p>
    <w:p>
      <w:r>
        <w:rPr>
          <w:rFonts w:ascii="Times New Roman" w:hAnsi="Times New Roman"/>
          <w:color w:val="000000"/>
          <w:sz w:val="24"/>
        </w:rPr>
        <w:t>Рабочий протокол технических тестов: синтетические профили мужчин и женщин 40–64 лет, страна Казахстан; SCORE2 и FRAX используют соответствующие региональные модели. Для SCORE2 выбран Europe high risk, к которому HeartScore относит Казахстан [1]. Диапазон 40–64 выбран как пересечение SCORE2 40–69 и возраста исходной выборки CAIDE 39–64 [2, 3]. Это предложенная область тестирования, а не подтверждённая референтная популяция коэффициентов LMB.</w:t>
      </w:r>
    </w:p>
    <w:p>
      <w:r>
        <w:rPr>
          <w:rFonts w:ascii="Times New Roman" w:hAnsi="Times New Roman"/>
          <w:color w:val="000000"/>
          <w:sz w:val="24"/>
        </w:rPr>
        <w:t>Сохрани target_population = null для клинической применимости, reference_sample = null и scientific_status = not_validated. Технический протокол храни отдельно, например в research_population и research_mode = local_synthetic. Не подменяй отсутствующую выборку нормализации описанием синтетических случаев.</w:t>
      </w:r>
    </w:p>
    <w:p>
      <w:r>
        <w:rPr>
          <w:rFonts w:ascii="Times New Roman" w:hAnsi="Times New Roman"/>
          <w:color w:val="000000"/>
          <w:sz w:val="24"/>
        </w:rPr>
        <w:t>В исследовательском режиме допускается отдельный арифметический расчёт, несмотря на отсутствие клинической целевой популяции. Остальные проверки обязательны: корректные входы, применимость исходных индексов, завершённая сверка SCORE2, все семь доменов и полная конфигурация. Для случаев с диабетом, установленным ССЗ и другими исключениями SCORE2 соответствующий расчёт остаётся неприменимым. Не заполняй пропуски и не перераспределяй веса.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2 Показ результата</w:t>
      </w:r>
    </w:p>
    <w:p>
      <w:r>
        <w:rPr>
          <w:rFonts w:ascii="Times New Roman" w:hAnsi="Times New Roman"/>
          <w:color w:val="000000"/>
          <w:sz w:val="24"/>
        </w:rPr>
        <w:t>В локальном интерфейсе врача добавь раскрываемый блок «Исследовательский расчёт LMB v0.3». Показывай итог, отклонение от календарного возраста, вклады семи доменов и отдельную постоянную 0.08. Рядом указывай: «Исследовательская модель. Клиническая валидация не проведена. Нормализация Cardio требует проверки; Brain содержит возрастные ступени CAIDE».</w:t>
      </w:r>
    </w:p>
    <w:p>
      <w:r>
        <w:rPr>
          <w:rFonts w:ascii="Times New Roman" w:hAnsi="Times New Roman"/>
          <w:color w:val="000000"/>
          <w:sz w:val="24"/>
        </w:rPr>
        <w:t>Этот блок включается явным переключателем режима тестирования. В пациентский отчёт результат по умолчанию не включается. При исследовательской выгрузке сохраняй версию и хеш конфигурации, режим, исходные данные, причины ограничений, Z_raw и Z после ограничения. Изменение результата нельзя описывать как доказанное омоложение.</w:t>
      </w:r>
    </w:p>
    <w:p>
      <w:r>
        <w:rPr>
          <w:rFonts w:ascii="Times New Roman" w:hAnsi="Times New Roman"/>
          <w:color w:val="000000"/>
          <w:sz w:val="24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3 Нормализация Cardio</w:t>
      </w:r>
    </w:p>
    <w:p>
      <w:r>
        <w:rPr>
          <w:rFonts w:ascii="Times New Roman" w:hAnsi="Times New Roman"/>
          <w:color w:val="000000"/>
          <w:sz w:val="24"/>
        </w:rPr>
        <w:t>Замечание о слишком низком ожидаемом SCORE2 подтверждается арифметически для двух контрольных профилей. В возрасте 55 лет, при САД 120, общем ХС 4.5, ЛПВП 1.5 ммоль/л и отсутствии курения получаются следующие значения из текущей таблицы v0.3 и проверок HeartScore HS11–HS12.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871"/>
          </w:tcPr>
          <w:p>
            <w:pPr>
              <w:spacing w:after="60" w:before="6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Пол</w:t>
            </w:r>
          </w:p>
        </w:tc>
        <w:tc>
          <w:tcPr>
            <w:tcW w:type="dxa" w:w="1984"/>
          </w:tcPr>
          <w:p>
            <w:pPr>
              <w:spacing w:after="60" w:before="6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Ожидание v0.3</w:t>
            </w:r>
          </w:p>
        </w:tc>
        <w:tc>
          <w:tcPr>
            <w:tcW w:type="dxa" w:w="1701"/>
          </w:tcPr>
          <w:p>
            <w:pPr>
              <w:spacing w:after="60" w:before="6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HeartScore</w:t>
            </w:r>
          </w:p>
        </w:tc>
        <w:tc>
          <w:tcPr>
            <w:tcW w:type="dxa" w:w="1871"/>
          </w:tcPr>
          <w:p>
            <w:pPr>
              <w:spacing w:after="60" w:before="6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Отношение</w:t>
            </w:r>
          </w:p>
        </w:tc>
        <w:tc>
          <w:tcPr>
            <w:tcW w:type="dxa" w:w="2211"/>
          </w:tcPr>
          <w:p>
            <w:pPr>
              <w:spacing w:after="60" w:before="6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Z Cardio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6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Женщина</w:t>
            </w:r>
          </w:p>
        </w:tc>
        <w:tc>
          <w:tcPr>
            <w:tcW w:type="dxa" w:w="1984"/>
          </w:tcPr>
          <w:p>
            <w:pPr>
              <w:spacing w:after="60" w:before="6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0.708%</w:t>
            </w:r>
          </w:p>
        </w:tc>
        <w:tc>
          <w:tcPr>
            <w:tcW w:type="dxa" w:w="1701"/>
          </w:tcPr>
          <w:p>
            <w:pPr>
              <w:spacing w:after="60" w:before="6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2.6%</w:t>
            </w:r>
          </w:p>
        </w:tc>
        <w:tc>
          <w:tcPr>
            <w:tcW w:type="dxa" w:w="1871"/>
          </w:tcPr>
          <w:p>
            <w:pPr>
              <w:spacing w:after="60" w:before="6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3.67</w:t>
            </w:r>
          </w:p>
        </w:tc>
        <w:tc>
          <w:tcPr>
            <w:tcW w:type="dxa" w:w="2211"/>
          </w:tcPr>
          <w:p>
            <w:pPr>
              <w:spacing w:after="60" w:before="6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+2.04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60" w:before="6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Мужчина</w:t>
            </w:r>
          </w:p>
        </w:tc>
        <w:tc>
          <w:tcPr>
            <w:tcW w:type="dxa" w:w="1984"/>
          </w:tcPr>
          <w:p>
            <w:pPr>
              <w:spacing w:after="60" w:before="6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0.939%</w:t>
            </w:r>
          </w:p>
        </w:tc>
        <w:tc>
          <w:tcPr>
            <w:tcW w:type="dxa" w:w="1701"/>
          </w:tcPr>
          <w:p>
            <w:pPr>
              <w:spacing w:after="60" w:before="6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3.5%</w:t>
            </w:r>
          </w:p>
        </w:tc>
        <w:tc>
          <w:tcPr>
            <w:tcW w:type="dxa" w:w="1871"/>
          </w:tcPr>
          <w:p>
            <w:pPr>
              <w:spacing w:after="60" w:before="6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3.73</w:t>
            </w:r>
          </w:p>
        </w:tc>
        <w:tc>
          <w:tcPr>
            <w:tcW w:type="dxa" w:w="2211"/>
          </w:tcPr>
          <w:p>
            <w:pPr>
              <w:spacing w:after="60" w:before="6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+2.31</w:t>
            </w:r>
          </w:p>
        </w:tc>
      </w:tr>
    </w:tbl>
    <w:p>
      <w:r>
        <w:rPr>
          <w:rFonts w:ascii="Times New Roman" w:hAnsi="Times New Roman"/>
          <w:color w:val="000000"/>
          <w:sz w:val="24"/>
        </w:rPr>
        <w:t>Ожидание в процентах получено как exp(Expected) − 1; Expected вычисляется по текущим коэффициентам возраста и пола. Эти примеры показывают смещение сравнения в данных профилях. Они не устанавливают средний SCORE2 населения Казахстана и не подтверждают постоянный множитель 3–5 для всех возрастов.</w:t>
      </w:r>
    </w:p>
    <w:p>
      <w:r>
        <w:rPr>
          <w:rFonts w:ascii="Times New Roman" w:hAnsi="Times New Roman"/>
          <w:color w:val="000000"/>
          <w:sz w:val="24"/>
        </w:rPr>
        <w:t>Для воспроизведения v0.3 сохрани коэффициенты без изменений. Показывай исходный SCORE2 high отдельно; высокий Z обозначай как отклонение от авторского ожидания v0.3. Клиническую категорию сердечно-сосудистого риска определяй по самостоятельному SCORE2 и его правилам, а не по Z LMB. Не умножай Expected на произвольно выбранный коэффициент.</w:t>
      </w:r>
    </w:p>
    <w:p>
      <w:r>
        <w:rPr>
          <w:rFonts w:ascii="Times New Roman" w:hAnsi="Times New Roman"/>
          <w:color w:val="000000"/>
          <w:sz w:val="24"/>
        </w:rPr>
        <w:t>Для новой версии нужны источник референтной выборки, критерии включения, возрастной и половой состав и пересчёт ожидания вместе с ResidualSD. Обозначь это отдельной задачей перекалибровки. Прогон 30 синтетических случаев проверяет арифметику SCORE2 и SCORE2-OP; он не подтверждает нормализацию Cardio или итоговый LMB BioAge.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4 Возрастные ступени CAIDE</w:t>
      </w:r>
    </w:p>
    <w:p>
      <w:r>
        <w:rPr>
          <w:rFonts w:ascii="Times New Roman" w:hAnsi="Times New Roman"/>
          <w:color w:val="000000"/>
          <w:sz w:val="24"/>
        </w:rPr>
        <w:t>Сохрани оригинальную модель 1 без APOE: возраст младше 47 лет даёт 0 баллов, 47–53 года включительно — 3, старше 53 — 4 [3, таблица 2]. Переходы в 47 и 54 года предусмотрены исходной шкалой. Сглаживание баллов изменило бы CAIDE.</w:t>
      </w:r>
    </w:p>
    <w:p>
      <w:r>
        <w:rPr>
          <w:rFonts w:ascii="Times New Roman" w:hAnsi="Times New Roman"/>
          <w:color w:val="000000"/>
          <w:sz w:val="24"/>
        </w:rPr>
        <w:t>При неизменных прочих факторах переход 46→47 увеличивает вклад Brain примерно на 2.91 года, а 53→54 — на 0.90 года. Это изменение взвешенного вклада Brain при текущем линейном Expected и весе 1.2, до влияния ограничения Z до ±3. Оно не равно изменению всего LMB BioAge: календарный возраст и остальные ожидания также меняются.</w:t>
      </w:r>
    </w:p>
    <w:p>
      <w:r>
        <w:rPr>
          <w:rFonts w:ascii="Times New Roman" w:hAnsi="Times New Roman"/>
          <w:color w:val="000000"/>
          <w:sz w:val="24"/>
        </w:rPr>
        <w:t>В v0.3 показывай возрастную категорию CAIDE и предупреждение о ступени при сравнении визитов через эти границы. Для следующей версии пересмотри нормализацию Brain так, чтобы она учитывала структуру исходной шкалы; параметры и итоговую формулу нужно проверить на референтных данных. Исходный CAIDE при этом сохраняется отдельным индексом.</w:t>
      </w:r>
    </w:p>
    <w:p>
      <w:r>
        <w:rPr>
          <w:rFonts w:ascii="Times New Roman" w:hAnsi="Times New Roman"/>
          <w:color w:val="000000"/>
          <w:sz w:val="24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5 Все 30 контрольных случаев HeartScore</w:t>
      </w:r>
    </w:p>
    <w:p>
      <w:r>
        <w:rPr>
          <w:rFonts w:ascii="Times New Roman" w:hAnsi="Times New Roman"/>
          <w:color w:val="000000"/>
          <w:sz w:val="24"/>
        </w:rPr>
        <w:t>Файл LMB_Claude_Data.docx версии 1.1 уже содержит официальные результаты для HS01–HS30: 20 случаев SCORE2 и 10 SCORE2-OP. Приложенный heartscore_check.csv воспроизводит эти же исходные данные и результаты в структуре текущего файла lmb-engine/tests/fixtures/heartscore_check.csv.</w:t>
      </w:r>
    </w:p>
    <w:p>
      <w:r>
        <w:rPr>
          <w:rFonts w:ascii="Times New Roman" w:hAnsi="Times New Roman"/>
          <w:color w:val="000000"/>
          <w:sz w:val="24"/>
        </w:rPr>
        <w:t>В проверенном репозитории заполнены HS01–HS04, а оставшиеся 26 строк C01–C16 и C21–C30 имеют другие входы. Замени основной набор эталонов целиком на HS01–HS30. Значения HS05–HS30 нельзя переносить на старые строки C по порядковому номеру. Если старые случаи нужны для дополнительного покрытия, сохрани их отдельно без статуса официально сверенных.</w:t>
      </w:r>
    </w:p>
    <w:p>
      <w:r>
        <w:rPr>
          <w:rFonts w:ascii="Times New Roman" w:hAnsi="Times New Roman"/>
          <w:color w:val="000000"/>
          <w:sz w:val="24"/>
        </w:rPr>
        <w:t>HS01–HS04 проверены 10.10.2026, остальные — 11.10.2026. CSV сохраняет месяц и год рождения, дату проверки, регион и отображённый результат. Возраст в формуле и правила работы с неполной датой рождения воспроизводи последовательно с текущей реализацией; не заменяй дату проверки сегодняшней датой.</w:t>
      </w:r>
    </w:p>
    <w:p>
      <w:r>
        <w:rPr>
          <w:rFonts w:ascii="Times New Roman" w:hAnsi="Times New Roman"/>
          <w:color w:val="000000"/>
          <w:sz w:val="24"/>
        </w:rPr>
        <w:t>HS02 имеет результат &lt;1%, а не точное число. Сохрани его как верхнюю границу и проверяй с учётом такого формата. Целые проценты и десятичные значения сравнивай с учётом отображаемой точности HeartScore. Не присваивай HS02 произвольный риск 0.5% или 1% для нормализации.</w:t>
      </w:r>
    </w:p>
    <w:p>
      <w:r>
        <w:rPr>
          <w:rFonts w:ascii="Times New Roman" w:hAnsi="Times New Roman"/>
          <w:color w:val="000000"/>
          <w:sz w:val="24"/>
        </w:rPr>
        <w:t>После замены запусти существующие проверки и зафиксируй результат для каждого из 30 случаев. Флаги heartscore_verified меняются только после успешной сверки соответствующего алгоритма. Сверка SCORE2-OP не разрешает перенос нормализации SCORE2 на людей 70 лет и старше: для этого в v0.3 нет отдельной подтверждённой строки.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6 Проверки перед включением исследовательского блока</w:t>
      </w:r>
    </w:p>
    <w:p>
      <w:r>
        <w:rPr>
          <w:rFonts w:ascii="Times New Roman" w:hAnsi="Times New Roman"/>
          <w:color w:val="000000"/>
          <w:sz w:val="24"/>
        </w:rPr>
        <w:t>Подтверди 20 эталонов SCORE2 и 10 эталонов SCORE2-OP отдельно. Проверь обе границы CAIDE на парах 46/47 и 53/54 при одинаковых остальных данных; зафиксируй ожидаемую ступень, знак и вклад Brain. Проверь, что все коэффициенты v0.3 и семь фиксированных правил объединения сохранены.</w:t>
      </w:r>
    </w:p>
    <w:p>
      <w:r>
        <w:rPr>
          <w:rFonts w:ascii="Times New Roman" w:hAnsi="Times New Roman"/>
          <w:color w:val="000000"/>
          <w:sz w:val="24"/>
        </w:rPr>
        <w:t>При неполном обязательном домене итог остаётся отсутствующим с конкретной причиной. Проверь также, что исследовательский переключатель не снимает проверки применимости и входов, а пациентский отчёт по умолчанию не содержит исследовательского итога. Не объявляй проверки пройденными до получения фактического результата запуска.</w:t>
      </w:r>
    </w:p>
    <w:p>
      <w:pPr>
        <w:pStyle w:val="Heading1"/>
      </w:pPr>
      <w:r>
        <w:rPr>
          <w:rFonts w:ascii="Times New Roman" w:hAnsi="Times New Roman"/>
          <w:color w:val="000000"/>
          <w:sz w:val="24"/>
        </w:rPr>
        <w:t>Источники</w:t>
      </w:r>
    </w:p>
    <w:p>
      <w:r>
        <w:rPr>
          <w:rFonts w:ascii="Times New Roman" w:hAnsi="Times New Roman"/>
          <w:color w:val="000000"/>
          <w:sz w:val="24"/>
        </w:rPr>
        <w:t>[1] ESC HeartScore. European Risk Regions. Kazakhstan — Europe high risk. https://www.heartscore.org/en_GB/heartscore-europe-risk-regions</w:t>
      </w:r>
    </w:p>
    <w:p>
      <w:r>
        <w:rPr>
          <w:rFonts w:ascii="Times New Roman" w:hAnsi="Times New Roman"/>
          <w:color w:val="000000"/>
          <w:sz w:val="24"/>
        </w:rPr>
        <w:t>[2] ESC HeartScore. About HeartScore. SCORE2 для 40–69 лет без предыдущего ССЗ и диабета. https://www.heartscore.org/en_GB/about-heartscore</w:t>
      </w:r>
    </w:p>
    <w:p>
      <w:r>
        <w:rPr>
          <w:rFonts w:ascii="Times New Roman" w:hAnsi="Times New Roman"/>
          <w:color w:val="000000"/>
          <w:sz w:val="24"/>
        </w:rPr>
        <w:t>[3] Kivipelto M et al. Lancet Neurol. 2006;5:735–741. DOI: 10.1016/S1474-4422(06)70537-3. Таблица 2, с. 737; исходная выборка 39–64 года. https://pubmed.ncbi.nlm.nih.gov/16914401/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4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ind w:firstLine="0"/>
      <w:contextualSpacing/>
      <w:jc w:val="left"/>
    </w:pPr>
    <w:rPr>
      <w:rFonts w:ascii="Times New Roman" w:hAnsi="Times New Roman" w:eastAsia="Times New Roman" w:cs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40" w:lineRule="auto"/>
      <w:ind w:firstLine="709"/>
      <w:jc w:val="both"/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Решения для исследовательского режима LMB BioAge</dc:title>
  <dc:subject>Локальные тесты v0.3 и интеграция 30 эталонов HeartScore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