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LMB BioAge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Техническое задание на разработку сайта и калькулятора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Клиника Love my body, Республика Казахстан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Версия ТЗ 1.0 от 10 октября 2026 года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338"/>
        <w:gridCol w:w="7016"/>
      </w:tblGrid>
      <w:tr>
        <w:trPr>
          <w:tblHeader w:val="true"/>
        </w:trPr>
        <w:tc>
          <w:tcPr>
            <w:tcW w:type="dxa" w:w="233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7016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Основания</w:t>
            </w:r>
          </w:p>
        </w:tc>
        <w:tc>
          <w:tcPr>
            <w:tcW w:type="dxa" w:w="70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Контекст проекта LMB BioAge v1.0 от 10.10.2026 (LMB_Claude_Context); промт для разработки v1.0 от 10.10.2026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Владелец медицинской модели</w:t>
            </w:r>
          </w:p>
        </w:tc>
        <w:tc>
          <w:tcPr>
            <w:tcW w:type="dxa" w:w="70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Владелец проекта — утверждает медицинскую концепцию, состав веток, коэффициенты и правила расчёта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Разработчик</w:t>
            </w:r>
          </w:p>
        </w:tc>
        <w:tc>
          <w:tcPr>
            <w:tcW w:type="dxa" w:w="70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Claude (Anthropic) — архитектура, реализация, проверка расчётов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Этап</w:t>
            </w:r>
          </w:p>
        </w:tc>
        <w:tc>
          <w:tcPr>
            <w:tcW w:type="dxa" w:w="70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Подготовка ТЗ. Разработка сайта начинается только по отдельному поручению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Дата проверки внешних источников</w:t>
            </w:r>
          </w:p>
        </w:tc>
        <w:tc>
          <w:tcPr>
            <w:tcW w:type="dxa" w:w="70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10.10.2026 (FRAXplus, HeartScore ESC, ESC 2025, NKF, законодательство РК)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Статус модели LMB BioAge</w:t>
            </w:r>
          </w:p>
        </w:tc>
        <w:tc>
          <w:tcPr>
            <w:tcW w:type="dxa" w:w="70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Авторская исследовательская модель v0.3; конфигурация нормализации и объединения доменов не передана; научная валидация не проводилась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Условные обозначения в тексте. «Подтверждено» — сведение проверено по официальному источнику на дату проверки. «Требует проверки» — сведение получено из вторичного источника или недоступно при проверке; использовать в коде до сверки запрещено. «Отсутствует» — параметр не передан владельцем; зависимый результат блокируется.</w:t>
      </w:r>
    </w:p>
    <w:p>
      <w:pPr>
        <w:pStyle w:val="Heading1"/>
      </w:pPr>
      <w:r>
        <w:t>1 Назначение и границы системы</w:t>
      </w:r>
    </w:p>
    <w:p>
      <w:pPr>
        <w:pStyle w:val="Heading2"/>
      </w:pPr>
      <w:r>
        <w:t>1.1 Назначение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Система LMB BioAge предназначена для врачей клиники Love my body. Она объединяет в профиль пациента анализы, антропометрию, анкету, функциональные тесты и результаты оборудования; сохраняет обследования по визитам; рассчитывает применимые клинические индексы; формирует профиль девяти текущих веток; при полной утверждённой конфигурации рассчитывает авторский интегральный показатель LMB BioAge; выдаёт врачебный и пациентский отчёты и показывает динамику.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Система является инструментом поддержки работы врача и исследовательской платформой. Она не ставит диагнозы и не назначает лечение. Индивидуальные назначения вносит врач.</w:t>
      </w:r>
    </w:p>
    <w:p>
      <w:pPr>
        <w:pStyle w:val="Heading2"/>
      </w:pPr>
      <w:r>
        <w:t>1.2 Четыре вида результатов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Система хранит, рассчитывает и показывает четыре вида результатов раздельно. Смешивать их в одном поле, на одной числовой шкале или в одной формуле без утверждённого правила запрещено.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803"/>
        <w:gridCol w:w="2028"/>
        <w:gridCol w:w="1916"/>
        <w:gridCol w:w="1803"/>
        <w:gridCol w:w="1803"/>
      </w:tblGrid>
      <w:tr>
        <w:trPr>
          <w:tblHeader w:val="true"/>
        </w:trPr>
        <w:tc>
          <w:tcPr>
            <w:tcW w:type="dxa" w:w="1803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Вид результата</w:t>
            </w:r>
          </w:p>
        </w:tc>
        <w:tc>
          <w:tcPr>
            <w:tcW w:type="dxa" w:w="202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Что это</w:t>
            </w:r>
          </w:p>
        </w:tc>
        <w:tc>
          <w:tcPr>
            <w:tcW w:type="dxa" w:w="1916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Единицы</w:t>
            </w:r>
          </w:p>
        </w:tc>
        <w:tc>
          <w:tcPr>
            <w:tcW w:type="dxa" w:w="1803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Основание</w:t>
            </w:r>
          </w:p>
        </w:tc>
        <w:tc>
          <w:tcPr>
            <w:tcW w:type="dxa" w:w="1803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Пример</w:t>
            </w:r>
          </w:p>
        </w:tc>
      </w:tr>
      <w:tr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1. Опубликованный клинический индекс</w:t>
            </w:r>
          </w:p>
        </w:tc>
        <w:tc>
          <w:tcPr>
            <w:tcW w:type="dxa" w:w="202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Результат валидированной формулы или шкалы</w:t>
            </w:r>
          </w:p>
        </w:tc>
        <w:tc>
          <w:tcPr>
            <w:tcW w:type="dxa" w:w="19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Собственные единицы индекса: %, мл/мин/1,73 м², баллы, безразмерное число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Первичная публикация, руководство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SCORE2 %, eGFR, FIB-4, CAIDE баллы</w:t>
            </w:r>
          </w:p>
        </w:tc>
      </w:tr>
      <w:tr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2. Показатель оборудования</w:t>
            </w:r>
          </w:p>
        </w:tc>
        <w:tc>
          <w:tcPr>
            <w:tcW w:type="dxa" w:w="202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Исходное или расчётное значение аппарата</w:t>
            </w:r>
          </w:p>
        </w:tc>
        <w:tc>
          <w:tcPr>
            <w:tcW w:type="dxa" w:w="19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Единицы отчёта аппарата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Документация производителя; алгоритм аппарата не воспроизводится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SMM Visbody, итоговый показатель LQ One</w:t>
            </w:r>
          </w:p>
        </w:tc>
      </w:tr>
      <w:tr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3. Доменная оценка LMB</w:t>
            </w:r>
          </w:p>
        </w:tc>
        <w:tc>
          <w:tcPr>
            <w:tcW w:type="dxa" w:w="202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Значение ветки после утверждённых преобразований и нормализации</w:t>
            </w:r>
          </w:p>
        </w:tc>
        <w:tc>
          <w:tcPr>
            <w:tcW w:type="dxa" w:w="19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Безразмерная, если правило не задаёт иное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Авторская модель LMB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Metabolic = f(Z-оценок)</w:t>
            </w:r>
          </w:p>
        </w:tc>
      </w:tr>
      <w:tr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4. Интегральный LMB BioAge</w:t>
            </w:r>
          </w:p>
        </w:tc>
        <w:tc>
          <w:tcPr>
            <w:tcW w:type="dxa" w:w="202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Календарный возраст + DeltaBioAge v0.3</w:t>
            </w:r>
          </w:p>
        </w:tc>
        <w:tc>
          <w:tcPr>
            <w:tcW w:type="dxa" w:w="191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Годы (условные, клиническая обоснованность перевода в годы не подтверждена)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Авторская модель LMB v0.3</w:t>
            </w:r>
          </w:p>
        </w:tc>
        <w:tc>
          <w:tcPr>
            <w:tcW w:type="dxa" w:w="180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LMB_BioAge = 52 + 1,4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Окончание Age в названии ветки обозначает раздел продукта. Оно не означает, что ветка выдаёт возраст в годах. SCORE2 и FRAX оценивают риск событий, eGFR — функцию почек, CAIDE — отдалённый риск деменции. Перевод любого из них в годы требует отдельной описанной и проверенной модели; в текущей версии такой модели нет.</w:t>
      </w:r>
    </w:p>
    <w:p>
      <w:pPr>
        <w:pStyle w:val="Heading2"/>
      </w:pPr>
      <w:r>
        <w:t>1.3 Границы первой версии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Входит: авторизация и роли, карточки пациентов и визиты, анкета, ручной ввод, проверяемый импорт файлов, клинические индексы с правилами применимости, девять текущих веток, серверный адаптер FRAX с ручным резервным режимом, хранение Visbody, мышечных тестов и LQ One, версии и история изменений, динамика, два PDF-отчёта, исследовательская выгрузка.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Не входит: автоматические лечебные назначения; воспроизведение закрытых алгоритмов FRAX и LQ One; численные результаты будущих веток; клиническая интерпретация, не утверждённая ответственным врачом; подтверждение наличия API Visbody, LQ One и лабораторий без документации.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Расчёт итогового LMB BioAge включается только после получения полной конфигурации (раздел 8) и выполнения условий приёмки (раздел 18.3). До этого система работает как система индексов и сбора данных без итогового возраста.</w:t>
      </w:r>
    </w:p>
    <w:p>
      <w:pPr>
        <w:pStyle w:val="Heading2"/>
      </w:pPr>
      <w:r>
        <w:t>1.4 Согласование исходных документов и решения разработчика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Ниже перечислены места, где проверка внешних источников уточнила исходные требования. Для каждого указано, какое требование затрагивается. Пункты с пометкой «нужно решение» требуют подтверждения владельца; до подтверждения применяется указанное безопасное поведение.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344"/>
        <w:gridCol w:w="1492"/>
        <w:gridCol w:w="2582"/>
        <w:gridCol w:w="3558"/>
        <w:gridCol w:w="1377"/>
      </w:tblGrid>
      <w:tr>
        <w:trPr>
          <w:tblHeader w:val="true"/>
        </w:trPr>
        <w:tc>
          <w:tcPr>
            <w:tcW w:type="dxa" w:w="34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149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Вопрос</w:t>
            </w:r>
          </w:p>
        </w:tc>
        <w:tc>
          <w:tcPr>
            <w:tcW w:type="dxa" w:w="258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Что установлено</w:t>
            </w:r>
          </w:p>
        </w:tc>
        <w:tc>
          <w:tcPr>
            <w:tcW w:type="dxa" w:w="355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Решение в ТЗ</w:t>
            </w:r>
          </w:p>
        </w:tc>
        <w:tc>
          <w:tcPr>
            <w:tcW w:type="dxa" w:w="137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Статус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ответ «неизвестно»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Официальный FAQ FRAX: категории «не знаю» нет; при отсутствии сведений рекомендуется отвечать «нет» (кроме МПК)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Система хранит «неизвестно». Запрос FRAX блокируется (missing_data), пока врач не заменит каждое «неизвестно» на «да»/«нет» либо явно не выберет «нет — сведений нет, по правилу FRAX». Такой выбор сохраняется отдельным признаком и печатается в отчёте. Не меняет правило «неизвестно ≠ нет», а добавляет явное действие врача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Нужно решение: разрешить ли выбор «нет по правилу FRAX»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возраст вне 40–90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Документация CSV FRAXplus: возраст вне 40–90 молча ограничивается границей без сообщения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Наш адаптер не отправляет запрос при возрасте вне 40–90; статус not_applicable. Подмена возраста границей исключена (требование промта)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Принято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кодирование пола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CSV FRAXplus: 0 — мужчины, 1 — женщины. В LMB-нормализации: 0 — женщина, 1 — мужчина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Явная таблица сопоставления в адаптере; отдельный тест на инверсию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Принято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формат МПК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CSV FRAXplus принимает МПК шейки бедра как T- или Z-показатель с указанием типа; T-показатель — по референсу NHANES III для молодых женщин; FAQ допускает ввод производителя аппарата и МПК в г/см² в веб-калькуляторе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Храним г/см², аппарат, тип показателя и участок. В запрос — только формат, подтверждённый спецификацией API. Позвоночник и общий проксимальный отдел бедра не подставляются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Формат API требует проверки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облачный API и передача данных за рубеж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Закон РК № 94-V: ст. 12 — хранение в базе на территории РК; ст. 16 — условия трансграничной передачи. Облачный сервис FRAXplus размещён вне РК (правообладатель — Osteoporosis Research Ltd, Великобритания)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Оба варианта заложены в адаптер: облачный API и локальный Docker-образ FRAXplus на сервере клиники в РК. Выбор — после правовой проверки и предложения правообладателя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Нужно решение после юриста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режим FRAX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Контекст v1.0: ручной режим — независимый резервный путь, первая версия может быть принята с ним. Промт v1.0: автоматический FRAX обязателен, ручной — аварийный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Противоречия нет: сайт принимается с ручным режимом; автоматический FRAX принимается отдельно и до реальных запросов имеет статус «не принята»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Принято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CAIDE: таблица баллов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Категории подтверждены вторичными источниками; баллы для 7–9 лет обучения и точные границы (&gt; или ≥) первичным текстом не подтверждены — PubMed недоступен при проверке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Таблица хранится в конфигурации со статусом «требует проверки»; расчёт CAIDE активируется после сверки с таблицей оригинальной статьи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Требует проверки</w:t>
            </w:r>
          </w:p>
        </w:tc>
      </w:tr>
      <w:tr>
        <w:tc>
          <w:tcPr>
            <w:tcW w:type="dxa" w:w="34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49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 при диабете</w:t>
            </w:r>
          </w:p>
        </w:tc>
        <w:tc>
          <w:tcPr>
            <w:tcW w:type="dxa" w:w="258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ESC 2025: SCORE2/SCORE2-OP — для лиц 40–89 лет без известной ССЗ и диабета</w:t>
            </w:r>
          </w:p>
        </w:tc>
        <w:tc>
          <w:tcPr>
            <w:tcW w:type="dxa" w:w="35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 диабете, ССЗ, значимой ХБП SCORE2 не рассчитывается в основной ветке (not_applicable). SCORE2-Diabetes не добавляется без решения владельца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Принято</w:t>
            </w:r>
          </w:p>
        </w:tc>
      </w:tr>
    </w:tbl>
    <w:p>
      <w:pPr>
        <w:spacing w:after="80"/>
      </w:pPr>
    </w:p>
    <w:p>
      <w:pPr>
        <w:pStyle w:val="Heading1"/>
      </w:pPr>
      <w:r>
        <w:t>2 Роли, права и сценарии</w:t>
      </w:r>
    </w:p>
    <w:p>
      <w:pPr>
        <w:pStyle w:val="Heading2"/>
      </w:pPr>
      <w:r>
        <w:t>2.1 Роли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984"/>
        <w:gridCol w:w="3969"/>
        <w:gridCol w:w="3402"/>
      </w:tblGrid>
      <w:tr>
        <w:trPr>
          <w:tblHeader w:val="true"/>
        </w:trPr>
        <w:tc>
          <w:tcPr>
            <w:tcW w:type="dxa" w:w="198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Роль</w:t>
            </w:r>
          </w:p>
        </w:tc>
        <w:tc>
          <w:tcPr>
            <w:tcW w:type="dxa" w:w="396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Назначение</w:t>
            </w:r>
          </w:p>
        </w:tc>
        <w:tc>
          <w:tcPr>
            <w:tcW w:type="dxa" w:w="340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Ключевые ограничения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Врач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Ведёт пациентов, вводит и подтверждает данные, запускает расчёты, утверждает и выдаёт отчёты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Видит пациентов своей клиники; не меняет медицинские коэффициенты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Администратор клиники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Управляет пользователями, ролями, справочниками чекапа, настройками интеграций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меняет медицинские коэффициенты и модели; доступ к медицинским данным — только по отдельному разрешению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Исследователь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Работает с псевдонимизированными данными и выгрузками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видит ФИО, ИИН, контакты, адреса, полную дату рождения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Пациент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Видит собственные утверждённые и разрешённые к выдаче результаты и отчёты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видит черновики, технические данные, чужие карточки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Полномочие «ответственный за медицинскую модель»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Утверждает версии модели, конфигурацию нормализации, шаблоны интерпретации, разрешение на выдачу исследовательского результата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Назначается отдельно от роли; действия требуют повторной аутентификации и журналируются</w:t>
            </w:r>
          </w:p>
        </w:tc>
      </w:tr>
    </w:tbl>
    <w:p>
      <w:pPr>
        <w:spacing w:after="80"/>
      </w:pPr>
    </w:p>
    <w:p>
      <w:pPr>
        <w:pStyle w:val="Heading2"/>
      </w:pPr>
      <w:r>
        <w:t>2.2 Матрица доступа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3953"/>
        <w:gridCol w:w="1054"/>
        <w:gridCol w:w="922"/>
        <w:gridCol w:w="922"/>
        <w:gridCol w:w="922"/>
        <w:gridCol w:w="1581"/>
      </w:tblGrid>
      <w:tr>
        <w:trPr>
          <w:tblHeader w:val="true"/>
        </w:trPr>
        <w:tc>
          <w:tcPr>
            <w:tcW w:type="dxa" w:w="3953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Действие</w:t>
            </w:r>
          </w:p>
        </w:tc>
        <w:tc>
          <w:tcPr>
            <w:tcW w:type="dxa" w:w="105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Врач</w:t>
            </w:r>
          </w:p>
        </w:tc>
        <w:tc>
          <w:tcPr>
            <w:tcW w:type="dxa" w:w="92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Адм.</w:t>
            </w:r>
          </w:p>
        </w:tc>
        <w:tc>
          <w:tcPr>
            <w:tcW w:type="dxa" w:w="92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Иссл.</w:t>
            </w:r>
          </w:p>
        </w:tc>
        <w:tc>
          <w:tcPr>
            <w:tcW w:type="dxa" w:w="92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Пац.</w:t>
            </w:r>
          </w:p>
        </w:tc>
        <w:tc>
          <w:tcPr>
            <w:tcW w:type="dxa" w:w="158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Отв. за модель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Создать/изменить карточку пациента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Да*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Ввести/импортировать показатели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Анкета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Подтвердить распознанные данные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Запустить расчёт, запрос FRAX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Ручной ввод результата FRAX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Утвердить и выдать отчёт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Видеть собственный отчёт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Псевдонимизированная выгрузка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Таблица соответствий кодов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Отдельное право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Изменить конфигурацию модели (черновик)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Разрешить версию модели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Управлять пользователями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Настроить ключи интеграций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Да**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</w:tr>
      <w:tr>
        <w:tc>
          <w:tcPr>
            <w:tcW w:type="dxa" w:w="3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Просмотр журнала аудита</w:t>
            </w:r>
          </w:p>
        </w:tc>
        <w:tc>
          <w:tcPr>
            <w:tcW w:type="dxa" w:w="10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Свои действия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92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15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* Администратор меняет только идентификационные и контактные данные. ** Ключи вводятся в хранилище секретов; значение ключа после ввода не отображается никому.</w:t>
      </w:r>
    </w:p>
    <w:p>
      <w:pPr>
        <w:pStyle w:val="Heading2"/>
      </w:pPr>
      <w:r>
        <w:t>2.3 Сценарии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Для каждого сценария заданы вход, действие системы, выход, обработка ошибки и критерий успешного выполнения. Нумерация используется в матрице трассировки (приложение К).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623"/>
        <w:gridCol w:w="1247"/>
        <w:gridCol w:w="1417"/>
        <w:gridCol w:w="1757"/>
        <w:gridCol w:w="1417"/>
        <w:gridCol w:w="1304"/>
        <w:gridCol w:w="1587"/>
      </w:tblGrid>
      <w:tr>
        <w:trPr>
          <w:tblHeader w:val="true"/>
        </w:trPr>
        <w:tc>
          <w:tcPr>
            <w:tcW w:type="dxa" w:w="62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Код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Сценарий</w:t>
            </w:r>
          </w:p>
        </w:tc>
        <w:tc>
          <w:tcPr>
            <w:tcW w:type="dxa" w:w="141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Вход</w:t>
            </w:r>
          </w:p>
        </w:tc>
        <w:tc>
          <w:tcPr>
            <w:tcW w:type="dxa" w:w="175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Действие</w:t>
            </w:r>
          </w:p>
        </w:tc>
        <w:tc>
          <w:tcPr>
            <w:tcW w:type="dxa" w:w="141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Выход</w:t>
            </w:r>
          </w:p>
        </w:tc>
        <w:tc>
          <w:tcPr>
            <w:tcW w:type="dxa" w:w="130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Ошибка</w:t>
            </w:r>
          </w:p>
        </w:tc>
        <w:tc>
          <w:tcPr>
            <w:tcW w:type="dxa" w:w="158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Критерий успеха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S1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Первичное обследование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Карточка, визит, анкета, анализы, оборудование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Проверка → индексы → FRAX → домены → итог при полной конфигурации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Профиль 9 веток; итог или причина его отсутствия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Ошибка ветки не останавливает остальные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Все применимые индексы рассчитаны, недоступные имеют статус и причину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S2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Повторный визит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Новый визит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Отдельное хранение, расчёт, сравнение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Динамика с пометками сопоставимости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Разные версии → предупреждение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Старый визит не изменён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S3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Исправление результата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Новое значение и причина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Новая редакция наблюдения; пересчёт по запросу врача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Новый CalculationRun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Без причины — отказ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Прежний расчёт воспроизводится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S4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Повтор запроса FRAX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Действие врача или автоповтор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Новый ExternalRequest с тем же ключом идемпотентности при тех же входах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Результат или ошибка с кодом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Лимит/авторизация → понятное сообщение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дубликатов, лимит не расходуется повторно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S5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ввод FRAX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Оба риска, модель, дата, МПК да/нет, вложение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Проверка 0–100%, подтверждение врача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Результат с источником «ручной»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одного риска → отказ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Источник виден в интерфейсе и отчёте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S6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Некачественная запись LQ One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Отметка качества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Сохранение с флагом качества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Показатель с предупреждением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Показатель не включается в расчёт без решения врача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S7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Невозможность функционального теста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Причина из справочника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Сохранение причины, числа нет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Статус «тест не выполнен»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null, а не 0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S8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Отзыв отчёта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Причина отзыва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Статус «отозван», пациенту видна пометка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История сохранена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Отозванный PDF доступен только как архив</w:t>
            </w:r>
          </w:p>
        </w:tc>
      </w:tr>
      <w:tr>
        <w:tc>
          <w:tcPr>
            <w:tcW w:type="dxa" w:w="6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S9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Восстановление после сбоя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Резервная копия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Восстановление по регламенту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Рабочая система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RPO/RTO из раздела 16 выполнены на учениях</w:t>
            </w:r>
          </w:p>
        </w:tc>
      </w:tr>
    </w:tbl>
    <w:p>
      <w:pPr>
        <w:spacing w:after="80"/>
      </w:pPr>
    </w:p>
    <w:p>
      <w:pPr>
        <w:pStyle w:val="Heading1"/>
      </w:pPr>
      <w:r>
        <w:t>3 Архитектура</w:t>
      </w:r>
    </w:p>
    <w:p>
      <w:pPr>
        <w:pStyle w:val="Heading2"/>
      </w:pPr>
      <w:r>
        <w:t>3.1 Технический стек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701"/>
        <w:gridCol w:w="3402"/>
        <w:gridCol w:w="4252"/>
      </w:tblGrid>
      <w:tr>
        <w:trPr>
          <w:tblHeader w:val="true"/>
        </w:trPr>
        <w:tc>
          <w:tcPr>
            <w:tcW w:type="dxa" w:w="170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Слой</w:t>
            </w:r>
          </w:p>
        </w:tc>
        <w:tc>
          <w:tcPr>
            <w:tcW w:type="dxa" w:w="340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Решение</w:t>
            </w:r>
          </w:p>
        </w:tc>
        <w:tc>
          <w:tcPr>
            <w:tcW w:type="dxa" w:w="425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Сервер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Python 3.12, FastAPI, Pydantic v2, SQLAlchemy 2, Alembic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Типизированные контракты API, автоматическая спецификация OpenAPI, научные библиотеки Python для расчётного модуля и выгрузок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Расчётный модуль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Отдельный пакет Python lmb_engine без зависимостей от веба и базы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Тестируется изолированно; одинаковый код для сервера, пересчётов и исследовательских выгрузок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База данных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PostgreSQL 16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Ограничения целостности, JSONB для снимков входов, транзакции, построчные права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Фоновые задачи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Очередь задач на PostgreSQL (без отдельного брокера в первой версии)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Меньше компонентов; задачи FRAX, импорта и PDF переживают перезапуск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Хранилище документов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S3-совместимое объектное хранилище (MinIO) на сервере в РК, шифрование на стороне сервера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Вложения, исходные файлы оборудования, выданные PDF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Интерфейс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React 18 + TypeScript, Vite, библиотека компонентов с доступными элементами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Одностраничное приложение для врача и пациента; строгая типизация по OpenAPI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PDF-отчёты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HTML-шаблоны → PDF (WeasyPrint) на сервере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Одинаковый шаблон для просмотра и печати; шрифты встраиваются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Развёртывание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Docker Compose, обратный прокси с TLS, сервер в ЦОД на территории РК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Простая эксплуатация; соответствует требованию локализации ст. 12 Закона № 94-V (требует правовой проверки)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Секреты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Хранилище секретов (переменные окружения из зашифрованного хранилища; в перспективе Vault)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Ключ FRAX не попадает в код, журналы и интерфейс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Микросервисы не используются. Единственный выделенный компонент — локальный экземпляр FRAXplus в Docker, если будет выбран вариант локального размещения (раздел 10.1). Языковая модель не участвует в вычислениях: все формулы реализуются кодом и проверяются тестами.</w:t>
      </w:r>
    </w:p>
    <w:p>
      <w:pPr>
        <w:pStyle w:val="Heading2"/>
      </w:pPr>
      <w:r>
        <w:t>3.2 Модули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Модуль</w:t>
            </w:r>
          </w:p>
        </w:tc>
        <w:tc>
          <w:tcPr>
            <w:tcW w:type="dxa" w:w="708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auth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Вход, сеансы, двухфакторная аутентификация персонала, роли, полномочие ответственного за модель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patients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Карточки, визиты, согласия, псевдонимы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observations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Наблюдения, редакции, единицы, конверсии, подтверждение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questionnaire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Анкета, версии вопросов, ответы «да/нет/неизвестно»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attachments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Загрузка файлов, проверка типа, хранение, связь с наблюдениями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importers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Адаптеры импорта: лаборатория, Visbody, LQ One (файл/ручной ввод → подтверждённый интерфейс)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engine (lmb_engine)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Проверка применимости, клинические индексы, нормализация, домены, вклады, итог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providers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FRAXProvider (облачный, локальный, ручной), тестовая имитация только в тестовой среде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models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Версии модели, пакет конфигурации, проверка схемы, статусы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reports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Шаблоны, генерация PDF, утверждение, выдача, отзыв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dynamics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Сравнение визитов, пометки сопоставимости, пересчёт выбранной версией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research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Псевдонимизированная выгрузка CSV/XLSX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audit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Журнал доступа и изменений</w:t>
            </w:r>
          </w:p>
        </w:tc>
      </w:tr>
    </w:tbl>
    <w:p>
      <w:pPr>
        <w:spacing w:after="80"/>
      </w:pPr>
    </w:p>
    <w:p>
      <w:pPr>
        <w:pStyle w:val="Heading2"/>
      </w:pPr>
      <w:r>
        <w:t>3.3 Конвейер расчёта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Расчёт выполняется последовательно для одного визита. Каждый шаг пишет статус для каждого результата; ошибка одной ветки не останавливает независимые ветки.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1 Снимок входов (InputSnapshot, неизменяемый, с хешем)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2 Проверка единиц, полноты, дат, подтверждения, применимости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3 Клинические индексы (IndexResult)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4 Внешние результаты: FRAX (асинхронно), LQ One, Visbody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5 Преобразования T и Z-оценки (Z_raw, Z_clipped)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6 Доменные оценки (DomainResult)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7 Вклады ветвей и интеграл v0.3 (только при полной конфигурации)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8 Интерпретация по утверждённым шаблонам → отчёт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Шаги 5–7 выполняются, только если у активной версии модели статус конфигурации «полная» и для шага есть все параметры. Иначе домены получают статус model_not_configured, итог — null с перечнем причин.</w:t>
      </w:r>
    </w:p>
    <w:p>
      <w:pPr>
        <w:pStyle w:val="Heading1"/>
      </w:pPr>
      <w:r>
        <w:t>4 База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Реляционная база PostgreSQL. Первичные ключи — UUID. Все медицинские записи принадлежат клинике (clinic_id) и пациенту; запросы фильтруются по клинике на уровне сервиса и политиками строк базы. Время хранится в UTC (timestamptz), даты образца и обследования — как дата плюс часовой пояс клиники (Asia/Almaty по умолчанию, настраивается).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Исходные наблюдения не перезаписываются. Исправление создаёт новую редакцию (revision) со ссылкой на предыдущую, автором, временем и причиной. Расчёт ссылается на неизменяемый снимок входов. Удаление медицинских записей заменено логической пометкой; физическое удаление — только по регламенту сроков хранения.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Минимальный состав сущностей: Clinic, User, Role, Patient, Encounter, Observation, QuestionnaireResponse, Attachment, DeviceMeasurement, AlgorithmDefinition, ModelVersion, CalculationRun, IndexResult, DomainResult, ExternalRequest, Report, AuditEvent. Вспомогательные: UserRole, ObservationDefinition (справочник показателей), InputSnapshot, PseudonymMap, Consent. Полные таблицы полей, типов, обязательности, ключей и связей — в приложении А.</w:t>
      </w:r>
    </w:p>
    <w:p>
      <w:pPr>
        <w:pStyle w:val="Heading1"/>
      </w:pPr>
      <w:r>
        <w:t>5 Справочник входов и единиц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Каждый показатель описан в справочнике ObservationDefinition: стабильный код латиницей, русское название, тип, каноническая единица, допустимые исходные единицы с правилами конверсии, физиологически возможный диапазон для проверки ввода, используемые индексы и источник клинических ограничений. Полный словарь — приложение Б.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Правила ввода. Числа принимают десятичную запятую и точку; в API — число JSON. Отсутствующее значение — null, не 0 и не пустая строка. Логические поля имеют три состояния: yes, no, unknown. Лабораторные значения вида «&lt;x» и «&gt;x» хранятся с признаком цензурирования (qualifier: lt, gt) и в расчёт как точное число не подставляются; индекс получает статус invalid_input с пояснением, пока ответственный за модель не утвердит правило.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Возраст рассчитывается на дату обследования из даты рождения. По умолчанию — число полных лет. Если алгоритм требует иное (например, возраст с десятичной частью), это задаётся в определении алгоритма. Дата рождения хранится только в защищённой карточке; во внешние сервисы передаётся только возраст.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Обязательность задаётся для конкретного алгоритма, а не для формы. Поля ветки, которая сейчас не рассчитывается, глобально обязательными не становятся.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Состав лабораторного чекапа клиники и состав входов модели — два разных справочника. Дополнительные исследования клиники хранятся с пометкой «не участвует в расчёте LMB BioAge». Изменение любого из справочников требует отдельного решения.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Временные окна. Для групп данных (биохимия, общий анализ крови, моча, антропометрия, оборудование, анкета) задаются настраиваемые максимальные интервалы до даты обследования. Значения интервалов владелец пока не передал: до их утверждения система использует только данные текущего визита; перенос значения из прошлого визита — явное действие врача с отметкой в результате и отчёте.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835"/>
        <w:gridCol w:w="4536"/>
        <w:gridCol w:w="1984"/>
      </w:tblGrid>
      <w:tr>
        <w:trPr>
          <w:tblHeader w:val="true"/>
        </w:trPr>
        <w:tc>
          <w:tcPr>
            <w:tcW w:type="dxa" w:w="28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Конверсия</w:t>
            </w:r>
          </w:p>
        </w:tc>
        <w:tc>
          <w:tcPr>
            <w:tcW w:type="dxa" w:w="45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Правило</w:t>
            </w:r>
          </w:p>
        </w:tc>
        <w:tc>
          <w:tcPr>
            <w:tcW w:type="dxa" w:w="198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Глюкоза ммоль/л → мг/дл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× 18.0182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Задано владельцем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Триглицериды ммоль/л → мг/дл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× 88.57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Задано владельцем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Креатинин мкмоль/л → мг/дл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÷ 88.4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Задано владельцем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ACR мг/ммоль → мг/г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× 8.84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Задано владельцем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Инсулин пмоль/л → мкЕд/мл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выполняется автоматически; нужна утверждённая конверсия для метода лаборатории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Отсутствует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Холестерин, ЛПВП мг/дл → ммоль/л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задано владельцем. Без утверждённого коэффициента ввод только в ммоль/л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Отсутствует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Клетки крови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Только абсолютные значения ×10⁹/л; проценты отклоняются для NLR/SII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Задано владельцем</w:t>
            </w:r>
          </w:p>
        </w:tc>
      </w:tr>
    </w:tbl>
    <w:p>
      <w:pPr>
        <w:spacing w:after="80"/>
      </w:pPr>
    </w:p>
    <w:p>
      <w:pPr>
        <w:pStyle w:val="Heading1"/>
      </w:pPr>
      <w:r>
        <w:t>6 Формулы и применимость клинических индексов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Для каждого индекса раздельно проверяются математическая допустимость (формулу можно вычислить) и клиническая применимость (результат имеет смысл для этого пациента). Математически вычислимый, но клинически неприменимый результат сохраняется со статусом not_applicable, показывается врачу с пометкой и не входит в доменную оценку. Расчёт ведётся в числах двойной точности; округление — только при отображении. Реестр источников и статус их проверки — приложение В.</w:t>
      </w:r>
    </w:p>
    <w:p>
      <w:pPr>
        <w:pStyle w:val="Heading2"/>
      </w:pPr>
      <w:r>
        <w:t>6.1 Антропометрия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BMI = weight_kg / (height_cm / 100)^2           [кг/м²]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WHtR = waist_cm / height_cm                     [безразмерный]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Математически: рост &gt; 0. Проверка ввода: рост 100–230 см, масса 25–300 кг, талия 40–200 см (диапазоны технические, для отсева опечаток; уточняются владельцем).</w:t>
      </w:r>
    </w:p>
    <w:p>
      <w:pPr>
        <w:pStyle w:val="Heading2"/>
      </w:pPr>
      <w:r>
        <w:t>6.2 Metabolic: HOMA-IR, TyG, AIP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HOMA_IR = glucose_mmol_l * insulin_uU_ml / 22.5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TyG = ln((tg_mmol_l*88.57) * (glucose_mmol_l*18.0182) / 2)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AIP = log10(tg_mmol_l / hdl_mmol_l)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NonHDL_mmol_l = tc_mmol_l - hdl_mmol_l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TyG: деление на 2 выполняется внутри логарифма, как в исходной публикации Simental-Mendía 2008 (подтверждено; в литературе встречается ошибочная запись с делением логарифма, которая даёт значения около 4,3–4,7 вместо 8–9; тест T-TYG-2 ловит эту ошибку).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AIP: отношение молярных концентраций (Dobiášová, Frohlich 2001 — подтверждено); отрицательные значения допустимы. Аргумент логарифма должен быть &gt; 0; при ТГ ≤ 0 или ЛПВП ≤ 0 — invalid_input.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Применимость HOMA-IR: глюкоза и инсулин натощак из одного образца; не применяется при инсулинотерапии; при сахарном диабете 1 типа — not_applicable. Признак «натощак» обязателен; при «неизвестно» — awaiting_review. Применимость TyG и AIP: ТГ натощак. Интерпретационные пороги не заданы; до утверждения шаблонов система показывает значение без оценочной категории.</w:t>
      </w:r>
    </w:p>
    <w:p>
      <w:pPr>
        <w:pStyle w:val="Heading2"/>
      </w:pPr>
      <w:r>
        <w:t>6.3 Renal: eGFR CKD-EPI 2021, ACR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Scr = creatinine_umol_l / 88.4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eGFR = 142 * min(Scr/k,1)^alpha * max(Scr/k,1)^(-1.200) * 0.9938^age * F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женщины: k=0.7, alpha=-0.241, F=1.012; мужчины: k=0.9, alpha=-0.302, F=1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ACR_mg_mmol = u_albumin_mg_l / u_creatinine_mmol_l;  ACR_mg_g = ACR_mg_mmol * 8.84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Источник формулы: NKF, CKD-EPI Creatinine Equation (2021), и Inker et al., NEJM 2021;385:1737–1749 (подтверждено). Используется только взрослая креатининовая формула без расового коэффициента; варианты с цистатином C — отдельные алгоритмы и в текущую версию не входят.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Применимость: возраст ≥ 18 лет; креатинин, стандартизованный по IDMS (NKF); стабильная функция почек — при отметке об остром изменении функции почек результат not_applicable. Беременность, ампутации, крайние значения мышечной массы — предупреждение врачу (условия требуют сверки с KDIGO при утверждении шаблонов). Единичный результат не устанавливает хроническую болезнь почек; система не формирует такую формулировку.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ACR: альбумин и креатинин из одной порции мочи; сохраняются дата и тип образца. Если есть готовый ACR лаборатории и вычисленный, хранятся оба; врачу показывается расхождение; источник для домена выбирает врач.</w:t>
      </w:r>
    </w:p>
    <w:p>
      <w:pPr>
        <w:pStyle w:val="Heading2"/>
      </w:pPr>
      <w:r>
        <w:t>6.4 Hepatic: FIB-4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FIB4 = age * AST_U_l / (platelets_10e9_l * sqrt(ALT_U_l))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Тромбоциты вводятся как число в ×10⁹/л (например, 250); умножение на 10⁹ запрещено. Математически: тромбоциты &gt; 0, АЛТ &gt; 0.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Применимость: оценка риска выраженного фиброза у взрослых при хронической болезни печени, прежде всего MASLD. Пороги EASL–EASD–EASO 2024: &lt; 1,3 (у лиц старше 65 лет &lt; 2,0) — низкий риск; &gt; 2,67 — высокий (подтверждено по вторичным источникам, ссылающимся на руководство; при утверждении шаблонов сверить с текстом руководства). FIB-4 ненадёжен до 35 лет — предупреждение. При остром гепатите, острой травме мышц, выраженной тромбоцитопении иной природы — not_applicable по отметке врача. FIB-4 не является показателем функции печени и не переводится в возраст.</w:t>
      </w:r>
    </w:p>
    <w:p>
      <w:pPr>
        <w:pStyle w:val="Heading2"/>
      </w:pPr>
      <w:r>
        <w:t>6.5 Inflammation: NLR, SII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NLR = neutrophils_abs / lymphocytes_abs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SII = platelets * neutrophils_abs / lymphocytes_abs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Все три значения — абсолютные числа из одного общего анализа крови (одна дата и один образец), в ×10⁹/л. Проценты клеток отклоняются. При отметке «острая инфекция» или иной значимой ситуации — not_applicable для домена, значение показывается врачу. Универсальных порогов нет; диагноз не формируется.</w:t>
      </w:r>
    </w:p>
    <w:p>
      <w:pPr>
        <w:pStyle w:val="Heading2"/>
      </w:pPr>
      <w:r>
        <w:t>6.6 Cardio: SCORE2, SCORE2-OP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Модели: SCORE2 (Eur Heart J 2021, doi 10.1093/eurheartj/ehab309) для 40–69 лет и SCORE2-OP (doi 10.1093/eurheartj/ehab312) для 70–89 лет; регион риска для Казахстана — high (HeartScore ESC, подтверждено 10.10.2026). Фокусированное обновление ESC/EAS 2025 подтверждает применение SCORE2 и SCORE2-OP для лиц 40–89 лет без известной ССЗ и диабета.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Вход: возраст, пол, текущее курение, систолическое АД, общий холестерин, ЛПВП (non-HDL = ОХС − ЛПВП). Выход: 10-летний риск фатальных и нефатальных сердечно-сосудистых событий, %.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Реализация: коэффициенты, средние значения центрирования и калибровочные параметры региона high переносятся из дополнительных материалов публикаций в конфигурацию алгоритма с двойным независимым вводом и проверкой контрольной суммы. Контрольные значения сверяются с калькулятором HeartScore на не менее чем 20 синтетических случаях (допуск ±0,1 процентного пункта после округления калькулятора). До сверки алгоритм имеет статус «требует проверки» и не активируется.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Применимость: установленное атеросклеротическое ССЗ, сахарный диабет, ХБП умеренной и выше тяжести, семейная гиперхолестеринемия, очень высокие отдельные факторы риска — not_applicable; врач видит причину. Возраст 69/70 — переход между моделями; возраст &lt; 40 и ≥ 90 — not_applicable. Нормативы Cardio, полученные для SCORE2, к SCORE2-OP не применяются без отдельных параметров.</w:t>
      </w:r>
    </w:p>
    <w:p>
      <w:pPr>
        <w:pStyle w:val="Heading2"/>
      </w:pPr>
      <w:r>
        <w:t>6.7 Brain: CAIDE (исходная версия без APOE)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Источник: Kivipelto M et al. Lancet Neurol 2006;5:735–741. Вход: возраст, пол, полные годы обучения, систолическое АД, ИМТ, общий холестерин, физическая активность. Выход: баллы 0–15 и категория 20-летнего риска деменции.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Подтверждено по вторичным источникам: 7 факторов и диапазон 0–15; категории риска 0–5 → 1,0 %; 6–7 → 1,9 %; 8–9 → 4,2 %; 10–11 → 7,4 %; 12–15 → 16,4 %. Требует сверки с оригинальной таблицей: балл для 7–9 лет обучения, точные знаки границ (&gt; или ≥) для ИМТ 30 и холестерина 6,5, определение физической активности (частота и длительность).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Применимость: модель разработана для среднего возраста (39–64 года в спецификации владельца). Вне диапазона — not_applicable; подмена возраста запрещена. Результат — оценка отдалённого риска, не диагностика текущих когнитивных нарушений и не «возраст мозга».</w:t>
      </w: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Таблица CAIDE для конфигурации (не активировать до сверки)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268"/>
        <w:gridCol w:w="2835"/>
        <w:gridCol w:w="1701"/>
        <w:gridCol w:w="2551"/>
      </w:tblGrid>
      <w:tr>
        <w:trPr>
          <w:tblHeader w:val="true"/>
        </w:trPr>
        <w:tc>
          <w:tcPr>
            <w:tcW w:type="dxa" w:w="226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Фактор</w:t>
            </w:r>
          </w:p>
        </w:tc>
        <w:tc>
          <w:tcPr>
            <w:tcW w:type="dxa" w:w="28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Категория</w:t>
            </w:r>
          </w:p>
        </w:tc>
        <w:tc>
          <w:tcPr>
            <w:tcW w:type="dxa" w:w="170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Баллы</w:t>
            </w:r>
          </w:p>
        </w:tc>
        <w:tc>
          <w:tcPr>
            <w:tcW w:type="dxa" w:w="255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Возраст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&lt; 47 / 47–53 / &gt; 53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3 / 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Подтверждено вторично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Образование, лет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≥ 10 / 7–9 / 0–6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? / 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Балл 7–9 требует сверки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Пол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Женский / мужской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Подтверждено вторично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САД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140 / &gt; 140 мм рт. ст.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Подтверждено вторично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ИМТ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30 / &gt; 30 кг/м²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Знак границы требует сверки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Общий холестерин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6,5 / &gt; 6,5 ммоль/л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Знак границы требует сверки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Физическая активность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Активный / неактивный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0 / 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Определение требует сверки</w:t>
            </w:r>
          </w:p>
        </w:tc>
      </w:tr>
    </w:tbl>
    <w:p>
      <w:pPr>
        <w:spacing w:after="80"/>
      </w:pPr>
    </w:p>
    <w:p>
      <w:pPr>
        <w:pStyle w:val="Heading2"/>
      </w:pPr>
      <w:r>
        <w:t>6.8 Bone: FRAX Kazakhstan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Результат получается только от официального сервиса (раздел 10.1). Локальное воспроизведение закрытой формулы запрещено. Применимость: возраст 40–90 лет (вне диапазона — not_applicable, запрос не отправляется); заполнены все клинические факторы; МПК — только шейка бедра. FRAX не используется для мониторинга эффективности лечения остеопороза и постановки целей лечения (официальный FAQ FRAX); снижение риска в динамике не подаётся как лечебный эффект.</w:t>
      </w:r>
    </w:p>
    <w:p>
      <w:pPr>
        <w:pStyle w:val="Heading2"/>
      </w:pPr>
      <w:r>
        <w:t>6.9 Muscle / Functional: Visbody, динамометрия, тест пяти вставаний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Хранятся исходные измерения: модель и версия Visbody, рост, масса, SMM, сегментарные показатели, ECW/TBW; сила хвата справа и слева по каждой попытке в кг с протоколом (динамометр, положение тела, число попыток, доминирующая рука); время пяти вставаний в секундах с отметкой использования рук и причиной невыполнения.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SMM, общая мышечная масса и масса мышц конечностей хранятся в разных полях и не взаимозаменяемы. ASMI не вычисляется из SMM; он рассчитывается только при наличии подтверждённой массы мышц конечностей из отчёта аппарата: ASMI = ASM_kg / (height_m)^2. Какое производное значение силы хвата (максимум, среднее, доминирующая рука) отображается сводно — решение протокола; до решения показываются все попытки. LMB Muscle Score, перевод в годы и вес — отсутствуют; доменная оценка имеет статус not_included.</w:t>
      </w:r>
    </w:p>
    <w:p>
      <w:pPr>
        <w:pStyle w:val="Heading2"/>
      </w:pPr>
      <w:r>
        <w:t>6.10 Adaptive / Autonomic: LQ One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Хранится готовый итоговый показатель из заключения: исходное название, значение, единица (годы или баллы — как в заключении), дата, версия аппарата и программы, качество записи, подтверждение врача. Дополнительные поля (ЧСС, индекс стресса, индекс вегетативного равновесия, Total Power, VLF, LF, HF, адаптационные возможности, ресурсы, баланс восстановления и расхода) — при наличии в отчёте. Перевод баллов в возраст и воспроизведение алгоритма LQ One запрещены. Вклад в v0.3 — null, статус not_included. Подпись в интерфейсе: «по данным LQ One».</w:t>
      </w:r>
    </w:p>
    <w:p>
      <w:pPr>
        <w:pStyle w:val="Heading1"/>
      </w:pPr>
      <w:r>
        <w:t>7 Нормализация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Z-оценка показывает, насколько значение отличается от ожидаемого для людей того же возраста и пола, в единицах стандартного отклонения. Это безразмерное число, а не годы. Нормализация не равна сравнению с лабораторной нормой.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Схема, заданная владельцем (без изменений):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Expected = Intercept + AgeCoef*Age + SexCoef*Sex + AgeSexCoef*Age*Sex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Z_raw = Sign * (T - Expected) / ResidualSD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Z_clipped = min(3, max(-3, Z_raw))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Sex в этой схеме: женщина = 0, мужчина = 1. Кодирование относится только к LMB-нормализации; у FRAX, SCORE2 и других алгоритмов собственное кодирование задаётся в их определениях.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T — значение после утверждённого преобразования. Допустимые типы преобразований в конфигурации: identity, ln, ln1p (ln(1+x)), log10. Тип выбирается для каждого показателя отдельно владельцем; применять ln(1+x) ко всем показателям запрещено. Перед преобразованием проверяется область определения; при нарушении — invalid_input.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Sign ∈ {+1, −1}: положительная Z-оценка соответствует менее благоприятному профилю по утверждённому правилу. ResidualSD &gt; 0; конфигурация с ResidualSD ≤ 0 не проходит проверку схемы и не может быть активирована.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Для каждого входящего в модель показателя конфигурация содержит: код показателя, версию алгоритма индекса, единицы, тип T, Intercept, AgeCoef, SexCoef, AgeSexCoef, Sign, ResidualSD, границы применимости (возраст, пол), идентификатор и описание референсной выборки, признак синтетичности параметров. Z_raw и Z_clipped хранятся раздельно; ограничение ±3 касается только вклада в модель, клиническое экстремальное значение и предупреждение сохраняются.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Синтетические нормативы маркируются как синтетические на уровне версии модели. Версия с синтетическими параметрами не может получить разрешение на выдачу пациенту.</w:t>
      </w:r>
    </w:p>
    <w:p>
      <w:pPr>
        <w:pStyle w:val="Heading1"/>
      </w:pPr>
      <w:r>
        <w:t>8 Доменные оценки и интегральная модель v0.3</w:t>
      </w:r>
    </w:p>
    <w:p>
      <w:pPr>
        <w:pStyle w:val="Heading2"/>
      </w:pPr>
      <w:r>
        <w:t>8.1 Правила объединения внутри веток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Правила объединения индексов внутри Metabolic, Renal, Inflammation и Bone, а также выбор показателя для Cardio, Hepatic и Brain не переданы. Среднее арифметическое автоматически не используется. Конфигурация поддерживает следующие типы правил, конкретный тип и параметры задаёт владелец: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single</w:t>
      </w:r>
      <w:r>
        <w:rPr>
          <w:rFonts w:ascii="Times New Roman" w:hAnsi="Times New Roman" w:cs="Times New Roman" w:eastAsia="Times New Roman"/>
          <w:sz w:val="24"/>
        </w:rPr>
        <w:t xml:space="preserve"> доменная оценка = Z_clipped одного указанного показателя;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weighted_sum</w:t>
      </w:r>
      <w:r>
        <w:rPr>
          <w:rFonts w:ascii="Times New Roman" w:hAnsi="Times New Roman" w:cs="Times New Roman" w:eastAsia="Times New Roman"/>
          <w:sz w:val="24"/>
        </w:rPr>
        <w:t xml:space="preserve"> сумма Z_clipped с весами, заданными владельцем;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max / min</w:t>
      </w:r>
      <w:r>
        <w:rPr>
          <w:rFonts w:ascii="Times New Roman" w:hAnsi="Times New Roman" w:cs="Times New Roman" w:eastAsia="Times New Roman"/>
          <w:sz w:val="24"/>
        </w:rPr>
        <w:t xml:space="preserve"> наибольшая или наименьшая из Z-оценок;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custom_versioned</w:t>
      </w:r>
      <w:r>
        <w:rPr>
          <w:rFonts w:ascii="Times New Roman" w:hAnsi="Times New Roman" w:cs="Times New Roman" w:eastAsia="Times New Roman"/>
          <w:sz w:val="24"/>
        </w:rPr>
        <w:t xml:space="preserve"> иная функция, реализованная кодом под отдельной версией и тестами после письменного описания владельцем.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Для каждой ветки также задаётся правило при неполных входах: «требуются все входы» (по умолчанию) либо явно перечисленные допустимые подмножества. Для Bone владелец указывает, используется ли риск основных остеопоротических переломов, риск перелома бедра или оба и как; для SCORE2 и SCORE2-OP — отдельные параметры нормализации.</w:t>
      </w:r>
    </w:p>
    <w:p>
      <w:pPr>
        <w:pStyle w:val="Heading2"/>
      </w:pPr>
      <w:r>
        <w:t>8.2 Интегральная формула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DeltaBioAge = 0.08 + 0.7*Cardio + 1.5*Metabolic + 1.3*Renal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 xml:space="preserve">            + 1.0*Hepatic + 1.4*Inflammation + 1.2*Brain + 0.9*Bone</w:t>
      </w:r>
    </w:p>
    <w:p>
      <w:pPr>
        <w:ind w:left="709"/>
        <w:jc w:val="left"/>
      </w:pPr>
      <w:r>
        <w:rPr>
          <w:rFonts w:ascii="Courier New" w:hAnsi="Courier New" w:cs="Courier New" w:eastAsia="Courier New"/>
          <w:sz w:val="22"/>
        </w:rPr>
        <w:t>LMB_BioAge = calendar_age + DeltaBioAge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Коэффициенты и постоянная хранятся в конфигурации версии v0.3 и не корректируются. В формулу подставляются только доменные оценки; проценты риска, eGFR, FIB-4, баллы CAIDE и возраст LQ One напрямую не подставляются. Клиническая обоснованность перевода суммы в годы не подтверждена; это отражается в каждом отчёте.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Вклад ветки = коэффициент × доменная оценка. Постоянная 0,08 показывается отдельной строкой. Сумма вкладов и постоянной равна DeltaBioAge до округления (проверка в коде с допуском 1e−12). Доли вклада в процентах от DeltaBioAge не рассчитываются.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Muscle и Adaptive отображаются и сохраняются, их вклад в v0.3 — null со статусом not_included; это отличается от нулевого вклада рассчитанной ветки.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Итог не рассчитывается, если отсутствует хотя бы один из семи доменов, если у версии неполная конфигурация или если пациент вне области применения модели. Веса не перераспределяются, пропуски не заменяются нулями или средними, частичный результат не показывается как полный. В ответе указывается конкретный перечень причин.</w:t>
      </w:r>
    </w:p>
    <w:p>
      <w:pPr>
        <w:pStyle w:val="Heading2"/>
      </w:pPr>
      <w:r>
        <w:t>8.3 Область применения итоговой модели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Область применения итога — пересечение областей применения всех семи обязательных доменов в их утверждённом виде. При текущих индексах это ограничивает возраст пересечением CAIDE (39–64), SCORE2 (40–69, если SCORE2-OP не нормирован отдельно) и FRAX (40–90), то есть ориентировочно 40–64 года, без диабета, ССЗ, значимой ХБП и острых состояний. Точную целевую популяцию утверждает владелец (раздел 21). Возможность ввести все показатели не означает доступности итога.</w:t>
      </w:r>
    </w:p>
    <w:p>
      <w:pPr>
        <w:pStyle w:val="Heading2"/>
      </w:pPr>
      <w:r>
        <w:t>8.4 Три независимых признака версии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Признак</w:t>
            </w:r>
          </w:p>
        </w:tc>
        <w:tc>
          <w:tcPr>
            <w:tcW w:type="dxa" w:w="45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Значения</w:t>
            </w:r>
          </w:p>
        </w:tc>
        <w:tc>
          <w:tcPr>
            <w:tcW w:type="dxa" w:w="255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Кто устанавливает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Полнота конфигурации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incomplete / complete (вычисляется проверкой схемы)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Система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Разрешение на использование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none / research_only / patient_report_allowed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Ответственный за модель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Научная проверка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not_validated / validation_in_progress / validated (с документом-основанием)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Ответственный за модель на основании документа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Численный итог виден врачу в исследовательском режиме при complete. В пациентский отчёт итог попадает только при patient_report_allowed, с отметкой об исследовательском статусе модели. Разрешение врача не означает научной валидации.</w:t>
      </w:r>
    </w:p>
    <w:p>
      <w:pPr>
        <w:pStyle w:val="Heading1"/>
      </w:pPr>
      <w:r>
        <w:t>9 Версии и статусы</w:t>
      </w:r>
    </w:p>
    <w:p>
      <w:pPr>
        <w:pStyle w:val="Heading2"/>
      </w:pPr>
      <w:r>
        <w:t>9.1 Независимые версии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268"/>
        <w:gridCol w:w="3969"/>
        <w:gridCol w:w="3118"/>
      </w:tblGrid>
      <w:tr>
        <w:trPr>
          <w:tblHeader w:val="true"/>
        </w:trPr>
        <w:tc>
          <w:tcPr>
            <w:tcW w:type="dxa" w:w="226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Объект</w:t>
            </w:r>
          </w:p>
        </w:tc>
        <w:tc>
          <w:tcPr>
            <w:tcW w:type="dxa" w:w="396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Формат</w:t>
            </w:r>
          </w:p>
        </w:tc>
        <w:tc>
          <w:tcPr>
            <w:tcW w:type="dxa" w:w="311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Где хранится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Медицинская модель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v0.3, v0.4 … (присваивает владелец)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ModelVersion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Программа (сайт)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SemVer 1.0.0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Сборка, CalculationRun.app_version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Расчётный модуль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SemVer + хеш сборки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CalculationRun.engine_version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Алгоритм индекса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код@версия, например egfr_ckdepi_cr_2021@1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AlgorithmDefinition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Внешний сервис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Версия FRAX/провайдера из ответа или заголовка; иначе дата и сборка образа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ExternalRequest.provider_version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Входные данные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Хеш InputSnapshot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InputSnapshot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Шаблон отчёта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report_patient@N, report_doctor@N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Report.template_version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Состояния версии модели: draft → technically_verified → approved (разрешена ответственным врачом) → archived. Активированная версия неизменяема; любое изменение создаёт новую версию. Названия будущих версий присваиваются после утверждения состава.</w:t>
      </w:r>
    </w:p>
    <w:p>
      <w:pPr>
        <w:pStyle w:val="Heading2"/>
      </w:pPr>
      <w:r>
        <w:t>9.2 Статусы результата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Статус расчёта, качество данных и ограничения интерпретации хранятся в трёх разных полях.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154"/>
        <w:gridCol w:w="3628"/>
        <w:gridCol w:w="3572"/>
      </w:tblGrid>
      <w:tr>
        <w:trPr>
          <w:tblHeader w:val="true"/>
        </w:trPr>
        <w:tc>
          <w:tcPr>
            <w:tcW w:type="dxa" w:w="215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Код</w:t>
            </w:r>
          </w:p>
        </w:tc>
        <w:tc>
          <w:tcPr>
            <w:tcW w:type="dxa" w:w="36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Сообщение для врача</w:t>
            </w:r>
          </w:p>
        </w:tc>
        <w:tc>
          <w:tcPr>
            <w:tcW w:type="dxa" w:w="357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Сообщение для пациента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calculated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Рассчитано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Рассчитано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missing_data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хватает данных: &lt;список полей&gt;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Для этого показателя не хватает данных обследования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invalid_input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Ошибка ввода: &lt;поле, причина&gt;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Показатель не рассчитан, врач проверяет данные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not_applicable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Неприменимо: &lt;причина, правило, источник&gt;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Этот показатель не применяется в вашем случае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model_not_configured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Модель не настроена: нет параметров &lt;список&gt;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Раздел находится в разработке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integration_not_configured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Интеграция не подключена: &lt;сервис&gt;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Результат будет внесён врачом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external_error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Ошибка внешнего сервиса: &lt;код, время&gt;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Результат временно недоступен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awaiting_review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Требуется подтверждение врача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Результат проверяется врачом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not_included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включено в эту версию модели</w:t>
            </w:r>
          </w:p>
        </w:tc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Показатель отображается отдельно и не входит в общий расчёт</w:t>
            </w:r>
          </w:p>
        </w:tc>
      </w:tr>
    </w:tbl>
    <w:p>
      <w:pPr>
        <w:spacing w:after="80"/>
      </w:pPr>
    </w:p>
    <w:p>
      <w:pPr>
        <w:pStyle w:val="Heading1"/>
      </w:pPr>
      <w:r>
        <w:t>10 Интеграции</w:t>
      </w:r>
    </w:p>
    <w:p>
      <w:pPr>
        <w:pStyle w:val="Heading2"/>
      </w:pPr>
      <w:r>
        <w:t>10.1 FRAX: автоматический запрос</w:t>
      </w:r>
    </w:p>
    <w:p>
      <w:pPr>
        <w:pStyle w:val="Heading3"/>
      </w:pPr>
      <w:r>
        <w:t>10.1.1 Что подтверждено официальными источниками на 10.10.2026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FRAXplus предоставляет HTTP API для получения FRAX и поправок FRAXplus; два варианта: облачный API fraxplus.org с ключом по подписке и собственное развёртывание Docker-образа FRAXplus на сервере клиента, также по действующей подписке (страница Documentation).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Docker-образ fraxplus/calculator: порт 8085; REST API описан на странице /api-docs локального экземпляра; доступ клиентов по ключу, задаваемому переменной FRAX_CALCULATOR_CLIENT_API_KEY, ключ передаётся в заголовке x-api-key (пример в документации — GET /api/v1/licence); веб-интерфейс отключается переменной FRAX_CALCULATOR_ALLOW_FRONTEND=false; контейнер работает без доступа в интернет, лицензия активируется онлайн или офлайн кодом (Docker Hub).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Тарифы: DEVELOPER — 4 000 евро в год, 5 000 API-расчётов FRAX в год, 25 пользователей; CLINICAL — 400 евро в год, без API, ввод многих пациентов 10 000 в год; локальное API и индивидуальная конфигурация (FRAXplus Custom) — по запросу правообладателю.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Справочник стран получается через API (в документации CSV ссылка на операцию get_api_v1_frax_countries); код страны — целое число. Модель Kazakhstan существует в FRAX.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Формат входа (по спецификации CSV, которая использует тот же калькулятор): возраст 40–90 с десятичной частью, вне диапазона ограничивается без сообщения; пол 0 — мужчины, 1 — женщины; ИМТ 5–125 кг/м², вне диапазона строка отклоняется; клинические факторы 0/1; МПК шейки бедра — T- или Z-показатель с указанием типа, пусто — расчёт без МПК; T-показатель по референсу NHANES III для молодых женщин для обоих полов. Выход: риски основных остеопоротических переломов и перелома бедра без МПК и с МПК.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Версия калькулятора на сайте: FRAX 1.4.9. Поправки FRAXplus (недавний перелом, доза глюкокортикоидов, TBS, падения, диабет 2 типа, расхождение МПК шейки бедра и позвоночника, длина оси шейки бедра, первичный гиперпаратиреоз, число переломов) являются бета-версией.</w:t>
      </w:r>
    </w:p>
    <w:p>
      <w:pPr>
        <w:pStyle w:val="Heading3"/>
      </w:pPr>
      <w:r>
        <w:t>10.1.2 Что требует проверки до реализации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Страница спецификации API (fraxplus.org/api-docs) формируется скриптом; при проверке её содержимое не загрузилось. Неизвестны: базовый адрес облачного API, путь и метод расчёта FRAX, схема запроса и ответа, имена полей, единицы ответа, коды ошибок, заголовок авторизации облачного API, ограничение частоты.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Код Казахстана в справочнике стран (получить вызовом справочника, не вписывать вручную).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Поддерживает ли API ввод МПК в г/см² с производителем денситометра (в веб-калькуляторе такой вариант описан в FAQ).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Учитываются ли в лимите 5 000 вызовы справочников и повторы; разрешены ли кэширование и хранение результатов; допускается ли использование лицензии DEVELOPER для клинической работы клиники; условия и цена локального размещения.</w:t>
      </w:r>
    </w:p>
    <w:p>
      <w:pPr>
        <w:pStyle w:val="Heading3"/>
      </w:pPr>
      <w:r>
        <w:t>10.1.3 Адаптер FRAXProvider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Внутренний контракт не зависит от внешней схемы. Соответствие полям внешнего API задаётся в отдельном модуле сопоставления после чтения спецификации.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FRAXRequest (вход адаптера, проверенный снимок):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snapshot_id, model_country = "Kazakhstan", age_years (40..90),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sex ("female"|"male"), bmi_kg_m2 (из роста и массы того же визита),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prior_fragility_fracture, parent_hip_fracture, current_smoking,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glucocorticoids, rheumatoid_arthritis, secondary_osteoporosis,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alcohol_3_or_more_units_day          : "yes"|"no"  (unknown недопустим)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assumed_no_fields                    : список полей "нет по правилу FRAX"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fn_bmd: null | {value, kind: "g_cm2"|"t_score"|"z_score",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site: "femoral_neck", device_make, method: "DXA"}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FRAXResult (выход адаптера):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status: calculated | integration_not_configured | external_error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| invalid_input | not_applicable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frax_major_10y_pct, frax_hip_10y_pct   (0..100, null при ошибке)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with_bmd: bool, national_model, provider ("fraxplus_cloud"|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"fraxplus_local"|"manual"), provider_version, requested_at,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responded_at, error_code, error_detail, external_request_id</w:t>
      </w:r>
    </w:p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Реализации: FraxPlusCloudProvider, FraxPlusLocalProvider (Docker в сети клиники), ManualFraxProvider (ручной ввод), FakeFraxProvider (только в тестовой среде; его результаты помечены test=true и не могут попасть в клиническую базу — ограничение на уровне конфигурации окружения и проверки при записи).</w:t>
      </w:r>
    </w:p>
    <w:p>
      <w:pPr>
        <w:pStyle w:val="Heading3"/>
      </w:pPr>
      <w:r>
        <w:t>10.1.4 Правила запроса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Запрос отправляет только сервер. Ключ хранится в хранилище секретов, не логируется и не передаётся в интерфейс.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Передаются только расчётные признаки из FRAXRequest. ФИО, ИИН, контакты, адрес, идентификаторы пациента и визита, дата рождения не передаются. Набор признаков о здоровье без ФИО не считается автоматически анонимным; основание передачи определяется правовой проверкой (раздел 14).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Запрос выполняется только после проверки: возраст 40–90, ИМТ в допустимом диапазоне, все факторы «да»/«нет», МПК только шейки бедра. Отсутствующая МПК передаётся способом, предусмотренным API; ноль вместо отсутствия запрещён.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Тайм-аут 15 с на попытку; не более 3 попыток только при сетевых ошибках, тайм-ауте и ответах 5xx/429, с экспоненциальной задержкой 2, 8, 30 с; учёт заголовка Retry-After. Ошибки 4xx (кроме 429) не повторяются. Бесконечный опрос исключён.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Различаемые ошибки: auth_failed, quota_exhausted, rate_limited, timeout, network_error, bad_request, unsupported_country_model, unit_mismatch, response_schema_invalid, provider_unavailable.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Ответ HTTP 200 считается успешным, только если: оба риска — числа 0–100; горизонт — 10 лет; модель — Kazakhstan; признак с МПК/без МПК соответствует запросу; схема ответа совпадает с ожидаемой. Иначе response_schema_invalid.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Идемпотентность: ключ = SHA-256 от нормализованного FRAXRequest + провайдер + версия провайдера. Повтор с тем же ключом возвращает сохранённый результат без нового внешнего вызова (если лицензия допускает хранение). Счётчик использованных API-расчётов ведётся в системе; при остатке менее 10 % лимита — предупреждение администратору.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Асинхронность: запрос — фоновая задача; интерфейс получает статус задачи и обновляется по готовности. Остальные индексы считаются независимо.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Конкурентные изменения: результат привязан к snapshot_id. Если врач изменил данные во время запроса, поздний ответ сохраняется для исходного снимка и не подставляется в новый расчёт; для нового снимка нужен новый запрос.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Ручной результат не заменяется автоматическим незаметно: при появлении автоматического результата для того же снимка врач видит оба и выбирает действующий; выбор журналируется.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Журналы операций содержат идентификатор запроса, время, статус, код ошибки, длительность; медицинский набор и ключ в журналы не пишутся. Подтверждаемые метаданные запроса и ответа хранятся в ExternalRequest в объёме, разрешённом лицензией.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Разбор HTML и автоматическое заполнение публичной веб-формы FRAX не используются. Загрузка CSV через веб-интерфейс тарифа CLINICAL требует ручных действий и требованию автоматического получения не соответствует.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Поправки FRAXplus не применяются. Их подключение возможно только отдельным правилом новой версии модели.</w:t>
      </w:r>
    </w:p>
    <w:p>
      <w:pPr>
        <w:pStyle w:val="Heading3"/>
      </w:pPr>
      <w:r>
        <w:t>10.1.5 Ручной резервный режим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Работает при отсутствии ключа, ограничении доступа, исчерпании лимита, сетевой ошибке и недоступности сервиса. Врач вводит оба 10-летних риска в процентах из официального расчёта по модели Казахстана, дату расчёта, источник, расчёт с МПК или без, прикрепляет снимок или PDF результата и подтверждает. Проверяются наличие обоих значений и диапазон 0–100 %. Подтверждённый ручной результат проходит те же проверки применимости и используется в Bone по тем же правилам. В интерфейсе и отчёте указывается способ получения. Ручной режим не закрывает требование автоматического FRAX.</w:t>
      </w:r>
    </w:p>
    <w:p>
      <w:pPr>
        <w:pStyle w:val="Heading2"/>
      </w:pPr>
      <w:r>
        <w:t>10.2 Visbody, LQ One, лаборатория и другие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Каждый адаптер оборудования реализует два шага: «получить сырые данные» (ручной ввод, файл, позднее подтверждённый интерфейс) и «сопоставить с ObservationDefinition». Структура хранения не меняется при смене способа получения.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Распознанные из PDF или изображений данные сохраняются вместе с документом-источником, результатом извлечения, единицами, датой и статусом подтверждения. Неподтверждённое распознавание в клинический расчёт не попадает. Дубликаты, неоднозначные даты, неизвестные показатели и несовпадение пациента показываются врачу до подтверждения.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Наличие API у Visbody, LQ One и лабораторий не подтверждено. Подробная матрица интеграций — приложение Д.</w:t>
      </w:r>
    </w:p>
    <w:p>
      <w:pPr>
        <w:pStyle w:val="Heading1"/>
      </w:pPr>
      <w:r>
        <w:t>11 Интерфейсы</w:t>
      </w:r>
    </w:p>
    <w:p>
      <w:pPr>
        <w:pStyle w:val="Heading2"/>
      </w:pPr>
      <w:r>
        <w:t>11.1 Кабинет врача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Список пациентов с поиском; карточка; список визитов.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Визит: вкладки «Анкета», «Анализы», «Антропометрия», «Оборудование», «Функциональные тесты», «FRAX», «Профиль», «Отчёты». Каждое значение показано с единицей, датой образца, источником и статусом подтверждения.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Профиль: карта девяти веток. Для каждой — индексы со значениями в исходных единицах, статусом, применимостью, предупреждениями; доменная оценка или причина её отсутствия.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Блок итога: при доступности — LMB BioAge, DeltaBioAge, таблица вкладов семи веток, постоянная 0,08, версия модели и признаки версии; при недоступности — «Итог не рассчитан» и перечень причин с ссылками на недостающие поля.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FRAX: способ получения (автоматический/ручной), провайдер и версия, с МПК или без, время запроса, кнопка повтора, при ошибке — понятный код.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Динамика: графики отдельных индексов в их единицах; итог — только между расчётами одной версии модели или пересчётом одной выбранной версией; пометки несопоставимости.</w:t>
      </w:r>
    </w:p>
    <w:p>
      <w:pPr>
        <w:pStyle w:val="Heading2"/>
      </w:pPr>
      <w:r>
        <w:t>11.2 Пациентский экран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Понятные русские названия без технических кодов, таблиц базы и JSON. Календарный возраст; авторский результат и разница с календарным возрастом — только при разрешении версии для пациентских отчётов и с отметкой об исследовательском статусе. Если итог не сформирован — доступный профиль и простая причина без фиктивной цифры. Возраст LQ One подписан «по данным аппарата LQ One».</w:t>
      </w:r>
    </w:p>
    <w:p>
      <w:pPr>
        <w:pStyle w:val="Heading2"/>
      </w:pPr>
      <w:r>
        <w:t>11.3 Визуализация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Горизонтальная диаграмма вкладов только для веток выбранной модели; подписи «повышает расчётную оценку» и «снижает расчётную оценку». Формулировки вида «ускоряет старение на N лет» запрещены.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Рядом — остальные ветки в исходных единицах со статусом.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На одной числовой оси располагаются только сопоставимые величины. Баллы CAIDE, проценты FRAX и SCORE2, eGFR и годы аппарата на одну ось не выводятся.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Цвет всегда дублируется текстом или знаком; благоприятность не передаётся только цветом. Контраст текста — не ниже уровня WCAG 2.1 AA.</w:t>
      </w:r>
    </w:p>
    <w:p>
      <w:pPr>
        <w:pStyle w:val="Heading1"/>
      </w:pPr>
      <w:r>
        <w:t>12 Отчёты и динамика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3685"/>
        <w:gridCol w:w="2835"/>
        <w:gridCol w:w="2835"/>
      </w:tblGrid>
      <w:tr>
        <w:trPr>
          <w:tblHeader w:val="true"/>
        </w:trPr>
        <w:tc>
          <w:tcPr>
            <w:tcW w:type="dxa" w:w="368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Раздел</w:t>
            </w:r>
          </w:p>
        </w:tc>
        <w:tc>
          <w:tcPr>
            <w:tcW w:type="dxa" w:w="28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Пациентский PDF</w:t>
            </w:r>
          </w:p>
        </w:tc>
        <w:tc>
          <w:tcPr>
            <w:tcW w:type="dxa" w:w="28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Врачебный PDF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Идентификация пациента, визит, дата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Доступные результаты с единицами и датами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Да, простыми словами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Да, все значения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Исходные значения и источники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Кратко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Полностью, с методом и качеством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Преобразования, Z-оценки, доменные оценки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Вклады и постоянная 0,08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Только при разрешении версии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Итог LMB BioAge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Только при разрешении версии, с отметкой исследовательского статуса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 полной конфигурации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Ограничения и неприменимые индексы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Да, с правилами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Версия модели и признаки версии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Источник FRAX и LQ One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Да, с провайдером и версией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Комментарий и рекомендации врача, контрольная дата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Сведения о полноте расчёта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Отчёт связан с конкретным CalculationRun и шаблоном. После утверждения PDF сохраняется в хранилище с контрольной суммой и не перегенерируется. Исправление — новая редакция отчёта; отзыв — статус revoked с причиной; история сохраняется.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Интерпретации — только из утверждённых шаблонов текста, привязанных к версии. Автоматические лечебные назначения по BioAge не формируются.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Динамика показывает исходные опубликованные результаты каждого визита и отдельно пересчёт всех визитов одной выбранной версией. При разных версиях модели, методах, провайдерах FRAX или протоколах выводится пометка ограниченной сопоставимости. Изменения не объясняются лечением автоматически.</w:t>
      </w:r>
    </w:p>
    <w:p>
      <w:pPr>
        <w:pStyle w:val="Heading1"/>
      </w:pPr>
      <w:r>
        <w:t>13 Внутренний API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REST, JSON, префикс /api/v1. Сервер публикует спецификацию OpenAPI 3.1, генерируемую из кода; клиент интерфейса генерируется из неё. Аутентификация — защищённая серверная сессия (cookie HttpOnly, Secure, SameSite=Strict) с защитой от CSRF; для интеграций — сервисные токены.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Все операции, создающие объекты, принимают заголовок Idempotency-Key; повтор с тем же ключом возвращает тот же объект. Изменения существующих объектов требуют If-Match (версия объекта); при несовпадении — 412. Доступ к чужой клинике или пациенту — 404 (существование объекта не раскрывается). Коды ошибок: 400, 401, 403, 404, 409, 412, 422, 429, 503. Перечень операций и примеры — приложение Ж.</w:t>
      </w:r>
    </w:p>
    <w:p>
      <w:pPr>
        <w:pStyle w:val="Heading1"/>
      </w:pPr>
      <w:r>
        <w:t>14 Безопасность, защита данных и правовые вопросы</w:t>
      </w:r>
    </w:p>
    <w:p>
      <w:pPr>
        <w:pStyle w:val="Heading2"/>
      </w:pPr>
      <w:r>
        <w:t>14.1 Технические меры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Персонал: вход по паролю (хеш Argon2id) и второму фактору (TOTP). Пациент: вход по приглашению врача с установкой пароля; второй фактор — по выбору.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Разграничение по клинике и пациенту в сервисе и политиками строк PostgreSQL. Минимально необходимые права.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TLS 1.2+ на всех каналах; шифрование дисков и объектного хранилища; ключи — вне базы данных.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Журнал аудита: вход, просмотр карточки, изменение, экспорт, выдача отчёта, изменение конфигурации; журнал только на добавление, хранится отдельно от рабочих таблиц.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Резервные копии: непрерывное архивирование журнала транзакций PostgreSQL и ежедневная полная копия; копии шифруются и хранятся на отдельном носителе в РК; ежемесячная проверка восстановления с протоколом.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Операционные журналы и внешняя аналитика не получают ФИО, ИИН, контакты и медицинские значения. Сторонние счётчики и аналитика в интерфейсе не используются.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Разработка и демонстрация — только на синтетических данных.</w:t>
      </w:r>
    </w:p>
    <w:p>
      <w:pPr>
        <w:pStyle w:val="Heading2"/>
      </w:pPr>
      <w:r>
        <w:t>14.2 Требования Казахстана и вопросы для правовой проверки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Проверено по информационно-правовым системам на 10.10.2026, официальный текст — adilet.zan.kz: Закон РК от 21.05.2013 № 94-V «О персональных данных и их защите» (ст. 12 — хранение персональных данных в базе на территории РК; ст. 16 — трансграничная передача допускается в государства, обеспечивающие защиту, и в иных случаях, предусмотренных законом); Кодекс РК от 07.07.2020 № 360-VI «О здоровье народа и системе здравоохранения» (цифровое здравоохранение, электронные медицинские записи); приказ МЗ РК от 14.04.2021 № ҚР ДСМ-30 (правила сбора, обработки, хранения, защиты и предоставления персональных медицинских данных субъектами цифрового здравоохранения); приказ МЗ РК от 06.08.2021 № ҚР ДСМ-80 (минимальные требования к медицинским информационным системам). Наличие шифрования не означает соответствия законодательству.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453"/>
        <w:gridCol w:w="8901"/>
      </w:tblGrid>
      <w:tr>
        <w:trPr>
          <w:tblHeader w:val="true"/>
        </w:trPr>
        <w:tc>
          <w:tcPr>
            <w:tcW w:type="dxa" w:w="45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890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Вопрос юристу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Является ли система медицинской информационной системой в смысле приказа ҚР ДСМ-80 и какие требования (регистрация, интеграция с национальными системами, аттестация) к ней применимы?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Требования к размещению: достаточно ли сервера в коммерческом ЦОД на территории РК; нужна ли аттестация по информационной безопасности?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Является ли передача в облачный FRAXplus (Великобритания) набора признаков без ФИО трансграничной передачей персональных медицинских данных; на каком основании она допустима; какое согласие пациента нужно?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Снимает ли вопрос п. 3 локальное размещение FRAXplus на сервере в РК?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Формулировки согласия пациента: обработка, исследовательское использование псевдонимизированных данных, передача во внешний сервис.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Сроки хранения медицинских данных, отчётов и журналов; порядок удаления и отзыва согласия.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Требования к исследовательскому использованию данных (этическая комиссия, договоры).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9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Статус программы, выдающей пациенту расчётные показатели, с точки зрения регулирования медицинских изделий.</w:t>
            </w:r>
          </w:p>
        </w:tc>
      </w:tr>
    </w:tbl>
    <w:p>
      <w:pPr>
        <w:spacing w:after="80"/>
      </w:pPr>
    </w:p>
    <w:p>
      <w:pPr>
        <w:pStyle w:val="Heading1"/>
      </w:pPr>
      <w:r>
        <w:t>15 Исследовательский режим и план валидации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Выгрузка CSV и XLSX: псевдоним пациента, номер визита, относительная дата (дни от первого визита) или месяц-год, пол, возраст на дату визита, исходные значения и единицы, качество, источник, алгоритмы и версии, индексы, Z_raw и Z_clipped, доменные оценки, итог, статусы и причины пропусков; позднее — клинические исходы. Прямые идентификаторы исключены. При устойчивом коде пациента набор называется псевдонимизированным; таблица соответствий хранится отдельно с доступом только по отдельному праву и журналированием.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План валидации (выполняется после накопления данных, отдельно от разработки): воспроизводимость измерений (повторные измерения, коэффициент внутриклассовой корреляции — доля различий между людьми в общей изменчивости); устойчивость модели к пропускам и выбросам; возрастные и половые различия; повторный учёт одних факторов в нескольких ветках (например, возраст, АД, холестерин, курение входят в SCORE2, CAIDE и FRAX); связь с заранее выбранными клиническими исходами. Деление на обучающую и проверочную выборки — по пациентам. Текущие веса не меняются без результатов исследования и утверждения новой версии.</w:t>
      </w:r>
    </w:p>
    <w:p>
      <w:pPr>
        <w:pStyle w:val="Heading1"/>
      </w:pPr>
      <w:r>
        <w:t>16 Производительность и надёжность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Ниже — проектные целевые параметры, которые проверяются нагрузочным тестом и учениями. Это не доказанные показатели работы.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4536"/>
        <w:gridCol w:w="4819"/>
      </w:tblGrid>
      <w:tr>
        <w:trPr>
          <w:tblHeader w:val="true"/>
        </w:trPr>
        <w:tc>
          <w:tcPr>
            <w:tcW w:type="dxa" w:w="45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Параметр</w:t>
            </w:r>
          </w:p>
        </w:tc>
        <w:tc>
          <w:tcPr>
            <w:tcW w:type="dxa" w:w="481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Цель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Время ответа чтения карточки и профиля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95-й процентиль ≤ 500 мс при 20 одновременных пользователях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Синхронная часть расчёта визита (без FRAX)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2 с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Запрос FRAX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Тайм-аут 15 с на попытку, итоговый статус ≤ 2 мин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Генерация PDF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10 с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Одновременные пользователи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≥ 50 без деградации сверх целей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Допустимая потеря данных (RPO)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15 мин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Время восстановления (RTO)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≤ 4 ч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Доступность в рабочее время клиники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≥ 99,5 % за месяц</w:t>
            </w:r>
          </w:p>
        </w:tc>
      </w:tr>
    </w:tbl>
    <w:p>
      <w:pPr>
        <w:spacing w:after="80"/>
      </w:pPr>
    </w:p>
    <w:p>
      <w:pPr>
        <w:pStyle w:val="Heading1"/>
      </w:pPr>
      <w:r>
        <w:t>17 Тестирование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Уровни: модульные тесты расчётного модуля (каждая формула, единицы, области определения, округление); тесты применимости; тесты конфигурации модели (схема, ResidualSD ≤ 0, неполнота); интеграционные тесты API и прав доступа; тесты адаптеров на записанных ответах (маркированы test=true); сквозные тесты сценариев S1–S9; нагрузочный тест; учения по восстановлению.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Эталоны: простые эталоны владельца, производные эталоны, рассчитанные по опубликованным формулам (допуск указан для каждого), эталоны SCORE2 и CAIDE — по официальному калькулятору или первоисточнику, эталоны FRAX — только ответы официального сервиса для тех же входов. Контрольные пациенты и ожидаемые значения — приложение З.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Сквозной численный эталон LMB BioAge сформировать сейчас невозможно: нет параметров нормализации и правил объединения доменов. Подготовлены тест ожидаемой блокировки итога и место для эталона, который будет заполнен после получения конфигурации.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Покрытие расчётного модуля тестами — не ниже 95 % строк и 100 % ветвлений правил применимости. Сборка не публикуется при провале любого теста.</w:t>
      </w:r>
    </w:p>
    <w:p>
      <w:pPr>
        <w:pStyle w:val="Heading1"/>
      </w:pPr>
      <w:r>
        <w:t>18 Критерии приёмки</w:t>
      </w:r>
    </w:p>
    <w:p>
      <w:pPr>
        <w:pStyle w:val="Heading2"/>
      </w:pPr>
      <w:r>
        <w:t>18.1 Первая рабочая версия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Работают роли и матрица доступа; доступ к чужой карточке невозможен (тест).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Карточки, визиты, анкета, ручной ввод и импорт файлов с подтверждением врачом.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Все простые эталоны раздела 18 промта и приложения З проходят с указанным допуском.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Индексы получают корректные статусы применимости на граничных случаях.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Девять веток отображаются; Muscle и Adaptive — с исходными измерениями и статусом not_included.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FRAX: адаптер реализован, ручной режим работает, при отсутствии ключа статус integration_not_configured.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Итог LMB BioAge при отсутствии конфигурации не показывается; перечень причин корректен.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Версии, редакции, воспроизводимость старого расчёта; отчёты PDF; динамика с пометками сопоставимости.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4"/>
        </w:rPr>
        <w:t>– Резервное копирование и восстановление проверены.</w:t>
      </w:r>
    </w:p>
    <w:p>
      <w:pPr>
        <w:pStyle w:val="Heading2"/>
      </w:pPr>
      <w:r>
        <w:t>18.2 Автоматический FRAX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Действующий разрешённый доступ; реальные запросы с синтетическими случаями в официальный сервис (облачный или локальный); модель Казахстана; два результата совпадают с официальным веб-калькулятором для тех же входов; подтверждённое сопоставление полей; проверены ошибки авторизации, лимита, тайм-аута, неверного формата; результат получен без ручного переноса. До выполнения — статус «не принята», независимо от готовности остального сайта. Имитация ответа приёмку не подтверждает.</w:t>
      </w:r>
    </w:p>
    <w:p>
      <w:pPr>
        <w:pStyle w:val="Heading2"/>
      </w:pPr>
      <w:r>
        <w:t>18.3 Полный расчёт LMB BioAge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Получены все параметры нормализации и правила доменов; описана целевая популяция; алгоритмы SCORE2, SCORE2-OP, CAIDE сверены; пройдены численные эталоны, включая сквозной; расчёт воспроизводим по сохранённому снимку; признаки полноты, разрешения и научной проверки отражены в интерфейсе и отчётах.</w:t>
      </w:r>
    </w:p>
    <w:p>
      <w:pPr>
        <w:pStyle w:val="Heading1"/>
      </w:pPr>
      <w:r>
        <w:t>19 Очереди разработки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Сроки и стоимость не указываются: нет данных о команде, сервере и условиях лицензий. Зависимости и проверки готовности — ниже.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079"/>
        <w:gridCol w:w="2758"/>
        <w:gridCol w:w="2039"/>
        <w:gridCol w:w="1559"/>
        <w:gridCol w:w="1919"/>
      </w:tblGrid>
      <w:tr>
        <w:trPr>
          <w:tblHeader w:val="true"/>
        </w:trPr>
        <w:tc>
          <w:tcPr>
            <w:tcW w:type="dxa" w:w="107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Очередь</w:t>
            </w:r>
          </w:p>
        </w:tc>
        <w:tc>
          <w:tcPr>
            <w:tcW w:type="dxa" w:w="275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Задачи</w:t>
            </w:r>
          </w:p>
        </w:tc>
        <w:tc>
          <w:tcPr>
            <w:tcW w:type="dxa" w:w="203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Зависимости</w:t>
            </w:r>
          </w:p>
        </w:tc>
        <w:tc>
          <w:tcPr>
            <w:tcW w:type="dxa" w:w="155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Результат</w:t>
            </w:r>
          </w:p>
        </w:tc>
        <w:tc>
          <w:tcPr>
            <w:tcW w:type="dxa" w:w="191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Проверка готовности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 Основа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Репозиторий, CI, окружения разработки/тест/рабочее, база, миграции, аутентификация, роли, аудит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Выбор сервера в РК (для рабочего окружения)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Каркас системы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Тесты прав, развёртывание из CI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1.1 Данные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Пациенты, визиты, ObservationDefinition, ручной ввод, анкета, вложения, редакции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Очередь 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Ввод и хранение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Сценарии ввода, редакции, null/unknown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1.2 Индексы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lmb_engine: BMI, WHtR, HOMA-IR, TyG, AIP, eGFR, ACR, FIB-4, NLR, SII; применимость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1.1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Профиль индексов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Эталоны приложения З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1.3 Cardio и Brain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SCORE2, SCORE2-OP, CAIDE из конфигурации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Перенос и сверка коэффициентов и таблицы CAIDE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Индексы активированы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Сверка с HeartScore и первоисточником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1.4 FRAX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Адаптер, ручной режим, фоновые задачи, идемпотентность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1.1; для автоматики — доступ и спецификация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Bone профиль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режим; автоматика — 18.2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1.5 Оборудование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Visbody, динамометрия, вставания, LQ One: ручной ввод и импорт файлов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Образцы отчётов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Muscle и Adaptive профили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Импорт образцов без потерь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1.6 Модель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ModelVersion, схема конфигурации, Z-оценки, домены, вклады, блокировка итога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1.2–1.4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Механизм модели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Тесты v0.3 и блокировки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1.7 Отчёты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PDF врача и пациента, утверждение, выдача, отзыв, динамика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1.6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Отчёты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Сценарии S1–S8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1.8 Исследования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Выгрузка CSV/XLSX, псевдонимы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1.6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Выгрузка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Отсутствие прямых идентификаторов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Подтверждённые интеграции лабораторий и оборудования, МИС, Bitrix, удобный кабинет пациента, расширенный экспорт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Документация и доступы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Интеграции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Критерии приложения Д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LMB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Активация полного расчёта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Пакет конфигурации от владельца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Итог в исследовательском режиме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18.3</w:t>
            </w:r>
          </w:p>
        </w:tc>
      </w:tr>
      <w:tr>
        <w:tc>
          <w:tcPr>
            <w:tcW w:type="dxa" w:w="107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75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Будущие ветки</w:t>
            </w:r>
          </w:p>
        </w:tc>
        <w:tc>
          <w:tcPr>
            <w:tcW w:type="dxa" w:w="20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Утверждённые методики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Хранение и расчёт по утверждению</w:t>
            </w:r>
          </w:p>
        </w:tc>
        <w:tc>
          <w:tcPr>
            <w:tcW w:type="dxa" w:w="19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Отдельное ТЗ ветки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Внешние расходы и доступы: лицензия FRAXplus (DEVELOPER 4 000 евро в год с 5 000 API-расчётов или индивидуальное предложение на локальное размещение — уточнить у правообладателя, обращение только по отдельному поручению); сервер в ЦОД на территории РК и резервное хранилище; TLS-сертификат; юридическая проверка; при необходимости — документация производителей Visbody и LQ One и доступы лабораторий.</w:t>
      </w:r>
    </w:p>
    <w:p>
      <w:pPr>
        <w:pStyle w:val="Heading1"/>
      </w:pPr>
      <w:r>
        <w:t>20 Будущие ветки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Для будущих веток система обеспечивает хранение показателей и подключение будущих алгоритмов без изменения структуры базы. Численные доменные оценки и веса неактивны до утверждения методик.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Respiratory Functional Age:</w:t>
      </w:r>
      <w:r>
        <w:rPr>
          <w:rFonts w:ascii="Times New Roman" w:hAnsi="Times New Roman" w:cs="Times New Roman" w:eastAsia="Times New Roman"/>
          <w:sz w:val="24"/>
        </w:rPr>
        <w:t xml:space="preserve"> FEV1, FVC, FEV1/FVC, возраст, пол, рост, качество манёвров, до/после бронходилататора; уравнения GLI выбранной версии дают Z-оценки, но не возраст.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GI Functional Age:</w:t>
      </w:r>
      <w:r>
        <w:rPr>
          <w:rFonts w:ascii="Times New Roman" w:hAnsi="Times New Roman" w:cs="Times New Roman" w:eastAsia="Times New Roman"/>
          <w:sz w:val="24"/>
        </w:rPr>
        <w:t xml:space="preserve"> GastroPanel (PGI, PGII, PGI/PGII, гастрин-17, H. pylori с методом), эластаза-1 и кальпротектин кала, симптомы и препараты; ХМС по Осипову — дополнительное исследование, не замена метагеномике; печёночная ветка не дублируется; FIT — отдельный скрининговый модуль.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Immune Age:</w:t>
      </w:r>
      <w:r>
        <w:rPr>
          <w:rFonts w:ascii="Times New Roman" w:hAnsi="Times New Roman" w:cs="Times New Roman" w:eastAsia="Times New Roman"/>
          <w:sz w:val="24"/>
        </w:rPr>
        <w:t xml:space="preserve"> субпопуляции лимфоцитов, CD8+CD28−, CD57, KLRG1, CD27, CD45RA, CCR7 с описанием панели и способа выделения популяций.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Mitochondrial Age:</w:t>
      </w:r>
      <w:r>
        <w:rPr>
          <w:rFonts w:ascii="Times New Roman" w:hAnsi="Times New Roman" w:cs="Times New Roman" w:eastAsia="Times New Roman"/>
          <w:sz w:val="24"/>
        </w:rPr>
        <w:t xml:space="preserve"> показатели МИТОпаспорта (митохондриальная активность, NADH, НСТ, фагоцитоз, оксидативный и кальциевый стресс) с точным определением теста и единицей; функциональный иммунный тест не называется прямым измерением митохондриального возраста.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4"/>
        </w:rPr>
        <w:t>– Hormonal / Reproductive Age:</w:t>
      </w:r>
      <w:r>
        <w:rPr>
          <w:rFonts w:ascii="Times New Roman" w:hAnsi="Times New Roman" w:cs="Times New Roman" w:eastAsia="Times New Roman"/>
          <w:sz w:val="24"/>
        </w:rPr>
        <w:t xml:space="preserve"> раздельные мужская и женская модели с учётом репродуктивного статуса, фазы цикла и гормональной терапии.</w:t>
      </w:r>
    </w:p>
    <w:p>
      <w:pPr>
        <w:pStyle w:val="Heading1"/>
      </w:pPr>
      <w:r>
        <w:t>21 Данные, которые нужны от владельца проекта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3175"/>
        <w:gridCol w:w="3061"/>
        <w:gridCol w:w="3118"/>
      </w:tblGrid>
      <w:tr>
        <w:trPr>
          <w:tblHeader w:val="true"/>
        </w:trPr>
        <w:tc>
          <w:tcPr>
            <w:tcW w:type="dxa" w:w="317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Что нужно</w:t>
            </w:r>
          </w:p>
        </w:tc>
        <w:tc>
          <w:tcPr>
            <w:tcW w:type="dxa" w:w="306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Что можно сделать уже сейчас</w:t>
            </w:r>
          </w:p>
        </w:tc>
        <w:tc>
          <w:tcPr>
            <w:tcW w:type="dxa" w:w="311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Что без этого недоступно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 Пакет нормализации v0.3 (по приложению Е) и правила объединения доменов, включая выбор риска FRAX для Bone и параметры для SCORE2-OP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Весь механизм модели, тесты v0.3 на заданных доменных оценках, блокировка итога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Доменные оценки семи веток, вклады, LMB BioAge, сквозной эталон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2. Целевая популяция модели и режим выдачи исследовательского результата пациенту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Профиль индексов и отчёты без итога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Проверка области применения итога; выдача итога пациенту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3. Точное название и единица итогового показателя LQ One и обезличенный образец заключения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ввод с произвольным названием и единицей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Проверяемый импорт LQ One, контроль единиц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4. Обезличенные образцы отчётов Visbody (с указанием модели) и файлов лабораторий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ввод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Импорт файлов и проверка сопоставления полей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5. Доступ и лицензия FRAXplus (облачный API или локальное размещение) с действующей спецификацией API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Адаптер, ручной режим, тесты на записанных ответах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Автоматический FRAX и его приёмка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6. Условия размещения и обработки данных: сервер, юридическое заключение, форма согласия, сроки хранения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Разработка и демонстрация на синтетических данных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Работа с реальными пациентами в рабочем окружении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7. Решение по п. 1 таблицы 1.4: разрешить ли врачу выбор «нет — сведений нет, по правилу FRAX»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Блокировка запроса при «неизвестно»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Расчёт FRAX при неполных сведениях анамнеза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8. Временные окна по группам данных; правило для значений «&lt;» и «&gt;»; протокол сводного значения силы хвата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Только данные текущего визита; цензурированные значения не используются; показ всех попыток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Автоматический перенос данных прошлых визитов; расчёт при цензурированных значениях</w:t>
            </w:r>
          </w:p>
        </w:tc>
      </w:tr>
    </w:tbl>
    <w:p>
      <w:pPr>
        <w:spacing w:after="80"/>
      </w:pPr>
    </w:p>
    <w:p>
      <w:pPr>
        <w:pStyle w:val="Heading1"/>
      </w:pPr>
      <w:r>
        <w:t>22 Источники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Дата обращения ко всем интернет-источникам — 10.10.2026. Ни один источник не подтверждает авторские коэффициенты LMB BioAge.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[1] FRAXplus. Documentation. https://www.fraxplus.org/documentation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[2] FRAXplus. API Documentation. https://www.fraxplus.org/api-docs — страница формируется скриптом, содержимое при проверке не получено.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[3] FRAXplus. Price plans. https://www.fraxplus.org/frax-plus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[4] FRAXplus. CSV Bulk calculations specifications: FRAX. https://fraxplus.org/documentation/csv/FRAX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[5] FRAXplus calculator Docker image. https://hub.docker.com/r/fraxplus/calculator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[6] FRAXplus. FAQ. https://www.fraxplus.org/faq — подтверждено (мониторинг лечения, отсутствие варианта «не знаю», МПК шейки бедра, T-показатель NHANES III).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[7] HeartScore ESC. European Risk Regions. https://www.heartscore.org/en_GB/heartscore-europe-risk-regions — Казахстан: high risk,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[8] SCORE2 working group. SCORE2 risk prediction algorithms. Eur Heart J 2021. doi:10.1093/eurheartj/ehab309.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[9] SCORE2-OP working group. SCORE2-OP risk prediction algorithms. Eur Heart J 2021. doi:10.1093/eurheartj/ehab312.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[10] ESC. Focused Update of the 2019 ESC/EAS Guidelines for the management of dyslipidaemias, 2025 (Mach F et al., doi:10.1093/eurheartj/ehaf190). https://www.escardio.org/news/news-room/congress-news/2025-focused-update-dyslipidaemias/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[11] National Kidney Foundation. CKD-EPI Creatinine Equation (2021). https://www.kidney.org/ckd-epi-creatinine-equation-2021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[12] Inker LA et al. New Creatinine- and Cystatin C-Based Equations to Estimate GFR without Race. N Engl J Med 2021;385:1737–1749. doi:10.1056/NEJMoa2102953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[13] Kivipelto M et al. Risk score for the prediction of dementia risk in 20 years among middle aged people. Lancet Neurol 2006;5:735–741. doi:10.1016/S1474-4422(06)70537-3 — PubMed при проверке недоступен; таблица баллов сверена по вторичным источникам частично.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[14] Simental-Mendía LE, Rodríguez-Morán M, Guerrero-Romero F. The product of fasting glucose and triglycerides as surrogate for identifying insulin resistance in apparently healthy subjects. Metab Syndr Relat Disord 2008;6:299–304. doi:10.1089/met.2008.0034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[15] Dobiášová M, Frohlich J. The plasma parameter log(TG/HDL-C) as an atherogenic index. Clin Biochem 2001;34:583–588. doi:10.1016/S0009-9120(01)00263-6 — подтверждено.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[16] Matthews DR et al. Homeostasis model assessment: insulin resistance and β-cell function from fasting plasma glucose and insulin concentrations in man. Diabetologia 1985;28:412–419 — библиографические данные в этой сессии не сверены.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[17] Sterling RK et al. Development of a simple noninvasive index to predict significant fibrosis in patients with HIV/HCV coinfection. Hepatology 2006;43:1317–1325 — библиографические данные в этой сессии не сверены.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[18] EASL–EASD–EASO Clinical Practice Guidelines on the management of MASLD. J Hepatol 2024. doi:10.1016/j.jhep.2024.04.031 — пороги FIB-4 подтверждены по вторичным источникам.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[19] Hu B et al. Systemic immune-inflammation index predicts prognosis of patients after curative resection for hepatocellular carcinoma. Clin Cancer Res 2014;20:6212–6222 — библиографические данные в этой сессии не сверены.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[20] Закон РК от 21.05.2013 № 94-V «О персональных данных и их защите», ст. 12, 16. https://adilet.zan.kz/rus/docs/Z1300000094 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[21] Кодекс РК от 07.07.2020 № 360-VI «О здоровье народа и системе здравоохранения».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[22] Приказ МЗ РК от 14.04.2021 № ҚР ДСМ-30 «Об утверждении правил сбора, обработки, хранения, защиты и предоставления персональных медицинских данных субъектами цифрового здравоохранения».</w:t>
      </w:r>
    </w:p>
    <w:p>
      <w:pPr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>[23] Приказ и.о. МЗ РК от 06.08.2021 № ҚР ДСМ-80 «Об утверждении минимальных требований к медицинским информационным системам в области здравоохранения».</w:t>
      </w:r>
    </w:p>
    <w:p>
      <w:r>
        <w:br w:type="page"/>
      </w:r>
    </w:p>
    <w:p>
      <w:pPr>
        <w:pStyle w:val="Heading1"/>
      </w:pPr>
      <w:r>
        <w:t>Приложение А. Таблицы полей базы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Обязательность «Да/Нет» относится к уровню базы. Обязательность для расчёта задаётся в определениях алгоритмов. Во всех таблицах медицинских данных дополнительно присутствуют clinic_id (FK Clinic) и служебные поля created_at, created_by.</w:t>
      </w: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Clinic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name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timezone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 умолчанию Asia/Almaty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created_at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User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clinic_id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Clinic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email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citext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full_name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password_hash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Argon2id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totp_secret_ref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ссылка в хранилище секретов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is_active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patient_id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Patient, 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для учётной записи пациента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Role / UserRole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role.code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doctor, clinic_admin, researcher, patient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user_role.user_id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user_role.role_code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Role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user_role.is_model_owner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полномочие ответственного за модель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user_role.granted_by, granted_at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Patient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clinic_id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Clinic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last_name, first_name, middle_name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Да/Да/Нет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зашифрованные поля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iin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 в клинике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зашифровано; не выгружается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birth_date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sex_at_birth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female/male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пол для алгоритмов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phone, email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зашифрованы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pseudonym_code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для исследований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deleted_at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логическое удаление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Encounter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patient_id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Patient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encounter_date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дата обследования, от неё считается возраст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doctor_id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open/closed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idempotency_key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защита от дубликатов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Observation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одна запись = одна редакция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Encounter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definition_code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ObservationDefinition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revision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UNIQUE(chain_id, revision)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chain_id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общий идентификатор всех редакций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supersedes_id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Observation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value_num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numeric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null при отсутствии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value_code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yes/no/unknown, категории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qualifier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eq/lt/gt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«&lt;», «&gt;»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unit_original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value_canonical, unit_canonical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numeric, 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после конверсии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sample_date, collected_at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date,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fasting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yes/no/unknown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source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manual/import/device/questionnaire/carry_over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method, device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quality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ok/questionable/poor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attachment_id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Attachment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документ-источник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review_status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pending/confirmed/rejected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confirmed_by, confirmed_at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change_reason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обязательна для revision &gt; 1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created_by, created_at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ObservationDefinition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стабильный код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name_ru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value_type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number/tristate/category/text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unit_canonical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allowed_units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единица → правило конверсии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plausible_min, plausible_max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numeric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проверка ввода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in_model_inputs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входит в справочник входов модели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in_checkup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входит в чекап клиники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QuestionnaireResponse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Encounter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questionnaire_version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item_code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связан с ObservationDefinition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answer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yes/no/unknown или значение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answered_by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patient/doctor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confirmed_by, confirmed_at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клинические пункты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frax_assumed_no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«нет — сведений нет, по правилу FRAX»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Attachment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Encounter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kind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lab/visbody/lqone/frax/other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storage_key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объектное хранилище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sha256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mime_type, size_bytes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text, bigint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uploaded_by, uploaded_at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DeviceMeasurement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Encounter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device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visbody/lqone/dynamometer/chair_stand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device_model, software_version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measured_at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protocol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положение, попытки, руки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raw_payload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извлечённые данные как есть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quality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ok/questionable/poor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not_performed_reason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attachment_id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Attachment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review_status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AlgorithmDefinition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PK(code, version)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egfr_ckdepi_cr_2021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kind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published_index/device/lmb_domain/external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source_refs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публикации, даты проверки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parameters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коэффициенты, таблицы баллов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parameters_sha256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verification_status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requires_check/verified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applicability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правила применимости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ModelVersion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label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v0.3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draft/technically_verified/approved/archived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config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пакет по приложению 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config_sha256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completeness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incomplete/complete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вычисляется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usage_permission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none/research_only/patient_report_allowed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validation_status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not_validated/in_progress/validated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validation_document_id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Attachment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synthetic_parameters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approved_by, approved_at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InputSnapshot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Encounter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payload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ссылки на редакции наблюдений и их значения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sha256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UNIQUE(encounter_id, sha256)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created_at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неизменяем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CalculationRun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calculation_id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Encounter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snapshot_id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InputSnapshot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model_version_id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ModelVersion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engine_version, app_version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algorithm_versions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код → версия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external_request_ids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uuid[]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calculated/partial/blocked/error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delta_years, bioage_years, intercept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numeric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null при блокировке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blocking_reasons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started_by, started_at, finished_at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IndexResult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run_id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CalculationRun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algorithm_code, algorithm_version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text, int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AlgorithmDefinition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value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double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полная точность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статусов 9.2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data_quality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interpretation_limits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warnings, missing_fields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z_raw, z_clipped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double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DomainResult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run_id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CalculationRun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domain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9 веток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UNIQUE(run_id, domain)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double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доменная оценка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coefficient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double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из версии модели; null для Muscle, Adaptive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contribution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double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coefficient × score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reasons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ExternalRequest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encounter_id, snapshot_id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provider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fraxplus_cloud/fraxplus_local/manual/fake_test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provider_version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idempotency_hash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INDEX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request_payload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без идентификаторов пациента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response_payload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 объёме, допустимом лицензией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status, error_code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enum, 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Да/Нет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attempts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requested_at, responded_at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Да/Нет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is_test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CHECK false в рабочей среде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is_active_choice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выбранный врачом результат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Report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run_id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CalculationRun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audience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patient/doctor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template_version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revision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status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enum draft/approved/issued/revoked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pdf_attachment_id, pdf_sha256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Attachment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doctor_comment, recommendations, next_visit_date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text, text, date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approved_by, issued_at, revoked_reason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timestamptz, 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AuditEvent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только добавление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occurred_at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actor_id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FK User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action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view/create/update/export/issue/config_change/login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entity_type, entity_id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text, 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clinic_id, patient_id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details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jsonb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без медицинских значений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ip, user_agent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inet, 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left"/>
      </w:pPr>
      <w:r>
        <w:rPr>
          <w:rFonts w:ascii="Times New Roman" w:hAnsi="Times New Roman" w:cs="Times New Roman" w:eastAsia="Times New Roman"/>
          <w:i/>
          <w:sz w:val="22"/>
        </w:rPr>
        <w:t>Сущность PseudonymMap / Consent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494"/>
        <w:gridCol w:w="2041"/>
        <w:gridCol w:w="793"/>
        <w:gridCol w:w="1927"/>
        <w:gridCol w:w="2097"/>
      </w:tblGrid>
      <w:tr>
        <w:trPr>
          <w:tblHeader w:val="true"/>
        </w:trPr>
        <w:tc>
          <w:tcPr>
            <w:tcW w:type="dxa" w:w="24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Поле</w:t>
            </w:r>
          </w:p>
        </w:tc>
        <w:tc>
          <w:tcPr>
            <w:tcW w:type="dxa" w:w="204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Обяз.</w:t>
            </w:r>
          </w:p>
        </w:tc>
        <w:tc>
          <w:tcPr>
            <w:tcW w:type="dxa" w:w="192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Ключи, связи</w:t>
            </w:r>
          </w:p>
        </w:tc>
        <w:tc>
          <w:tcPr>
            <w:tcW w:type="dxa" w:w="209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Примечание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pseudonym_map.patient_id, code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text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PK, UNIQUE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отдельная схема с ограниченным доступом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consent.patient_id, kind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uuid, enum processing/research/external_transfer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consent.granted_at, revoked_at, document_id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timestamptz, uuid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Да/Нет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Приложение Б. Словарь медицинских показателей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Каноническая единица — та, в которой выполняется расчёт. Диапазоны — технические, для отсева ошибок ввода; клиническими нормами не являются и уточняются владельцем. Источник клинических ограничений — приложение В.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474"/>
        <w:gridCol w:w="1814"/>
        <w:gridCol w:w="907"/>
        <w:gridCol w:w="793"/>
        <w:gridCol w:w="907"/>
        <w:gridCol w:w="1020"/>
        <w:gridCol w:w="1247"/>
        <w:gridCol w:w="1190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181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Название</w:t>
            </w:r>
          </w:p>
        </w:tc>
        <w:tc>
          <w:tcPr>
            <w:tcW w:type="dxa" w:w="90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Тип</w:t>
            </w:r>
          </w:p>
        </w:tc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Ед.</w:t>
            </w:r>
          </w:p>
        </w:tc>
        <w:tc>
          <w:tcPr>
            <w:tcW w:type="dxa" w:w="90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Диапазон</w:t>
            </w:r>
          </w:p>
        </w:tc>
        <w:tc>
          <w:tcPr>
            <w:tcW w:type="dxa" w:w="1020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Источник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Индексы</w:t>
            </w:r>
          </w:p>
        </w:tc>
        <w:tc>
          <w:tcPr>
            <w:tcW w:type="dxa" w:w="119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Конверсия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age_years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Возраст на дату обследования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вычисляемое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лет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≥ 18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birth_date, encounter_date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все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полные годы; иное — по алгоритму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sex_at_birth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Пол для алгоритмов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категория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female/male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карточка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SCORE2, eGFR, CAIDE, FRAX, Z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карта кодирования для каждого алгоритма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height_cm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Рост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см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100–230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антропометрия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BMI, WHtR, FRAX, ASMI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 → см × 100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weight_kg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Масса тела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кг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25–300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антропометрия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BMI, 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waist_cm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Окружность талии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см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40–200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антропометрия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WHtR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sbp_mmhg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Систолическое АД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 рт. ст.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70–260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осмотр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SCORE2, CAIDE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протокол измерения — отдельное поле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smoking_current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Текущее курение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SCORE2, 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glucose_fasting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Глюкоза натощак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ммоль/л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1–40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HOMA-IR, TyG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мг/дл ÷ 18.0182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insulin_fasting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Инсулин натощак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мкЕд/мл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0,5–300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HOMA-IR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пмоль/л — не конвертируется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fasting_status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Сдача натощак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лаборатория/анкета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HOMA-IR, TyG, AIP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insulin_therapy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Инсулинотерапия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анкета, 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HOMA-IR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tg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Триглицериды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ммоль/л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0,1–50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TyG, AIP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мг/дл ÷ 88.57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tc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Общий холестерин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ммоль/л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1–20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SCORE2, CAIDE, non-HDL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мг/дл — нет утверждённого коэффициента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hdl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ЛПВП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ммоль/л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0,1–5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AIP, SCORE2, non-HDL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то же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creatinine_serum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Креатинин сыворотки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мкмоль/л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10–2000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eGFR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мг/дл × 88.4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creatinine_idms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Метод креатинина стандартизован по IDMS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eGFR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acute_kidney_change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Острое изменение функции почек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eGFR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u_albumin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Альбумин мочи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0–5000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u_creatinine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Креатинин мочи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ммоль/л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0,5–40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acr_lab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 лаборатории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мг/ммоль или мг/г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хранится в исходной единице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urine_sample_type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Тип образца мочи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категория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разовая утренняя/разовая/суточная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ast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АСТ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Ед/л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1–5000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FIB-4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alt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АЛТ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Ед/л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1–5000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FIB-4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platelets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Тромбоциты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×10⁹/л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5–1500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ОАК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FIB-4, SII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×10³/мкл = ×10⁹/л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neutrophils_abs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Нейтрофилы абс.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×10⁹/л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0,1–100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ОАК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NLR, SII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проценты не принимаются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lymphocytes_abs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Лимфоциты абс.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×10⁹/л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0,1–100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ОАК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NLR, SII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то же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acute_infection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Острая инфекция/значимое воспаление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NLR, SII, FIB-4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ascvd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Установленное атеросклеротическое ССЗ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анкета, 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diabetes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Сахарный диабет и тип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категория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нет/1/2/иной/неизв.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анкета, 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SCORE2, HOMA-IR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ckd_known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Известная ХБП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fh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Семейная гиперхолестеринемия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education_years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Полные годы обучения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лет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0–30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CAIDE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physical_activity_caide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Физическая активность (по определению CAIDE)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категория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активен/неактивен/неизв.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CAIDE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определение требует сверки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prior_fragility_fracture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Предшествующий низкоэнергетический перелом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анкета, 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parent_hip_fracture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Перелом бедра у родителей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glucocorticoids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Системные глюкокортикоиды (по определению FRAX)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анкета, 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rheumatoid_arthritis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Ревматоидный артрит (подтверждённый)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secondary_osteoporosis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Вторичный остеопороз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врач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alcohol_3plus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Алкоголь ≥ 3 стандартных доз в сутки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да/нет/неизв.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анкета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fn_bmd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МПК шейки бедра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г/см²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0,2–2,0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денситометрия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 аппаратом и методом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fn_tscore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T-показатель шейки бедра (NHANES III)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SD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−6…+6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денситометрия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только шейка бедра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frax_major_10y_pct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FRAX: 10-летний риск основных остеопоротических переломов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%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0–100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FRAXProvider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Bone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frax_hip_10y_pct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FRAX: 10-летний риск перелома бедра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%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0–100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FRAXProvider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Bone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visbody_smm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Скелетно-мышечная масса Visbody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кг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5–80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Muscle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не заменяет ASM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visbody_asm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Масса мышц конечностей (если есть в отчёте)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кг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5–60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ASMI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visbody_ecw_tbw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ECW/TBW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0,3–0,5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Muscle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grip_right_kg[], grip_left_kg[]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Сила хвата по попыткам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массив чисел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кг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0–100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динамометр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Muscle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chair_stand_5x_s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Время пяти вставаний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3–120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тест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Muscle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chair_stand_arms_used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Использование рук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да/нет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тест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Muscle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lqone_summary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Итоговый показатель LQ One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 + название + единица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как в заключении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 One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Adaptive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перевод запрещён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lqone_hr, lqone_si, lqone_tp, lqone_vlf, lqone_lf, lqone_hf …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Доп. показатели LQ One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как в отчёте</w:t>
            </w:r>
          </w:p>
        </w:tc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 One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Adaptive (отображение)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В. Реестр индексов с источниками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247"/>
        <w:gridCol w:w="1474"/>
        <w:gridCol w:w="1020"/>
        <w:gridCol w:w="1134"/>
        <w:gridCol w:w="1814"/>
        <w:gridCol w:w="1474"/>
        <w:gridCol w:w="1190"/>
      </w:tblGrid>
      <w:tr>
        <w:trPr>
          <w:tblHeader w:val="true"/>
        </w:trPr>
        <w:tc>
          <w:tcPr>
            <w:tcW w:type="dxa" w:w="124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Индекс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Что измеряет</w:t>
            </w:r>
          </w:p>
        </w:tc>
        <w:tc>
          <w:tcPr>
            <w:tcW w:type="dxa" w:w="1020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Единицы</w:t>
            </w:r>
          </w:p>
        </w:tc>
        <w:tc>
          <w:tcPr>
            <w:tcW w:type="dxa" w:w="113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Мат. условие</w:t>
            </w:r>
          </w:p>
        </w:tc>
        <w:tc>
          <w:tcPr>
            <w:tcW w:type="dxa" w:w="181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Клиническая применимость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Источник</w:t>
            </w:r>
          </w:p>
        </w:tc>
        <w:tc>
          <w:tcPr>
            <w:tcW w:type="dxa" w:w="119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Статус проверки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BMI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Соотношение массы и роста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кг/м²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рост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Взрослые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Определение ВОЗ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Формула владельца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WHtR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Центральное ожирение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рост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Взрослые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Формула владельца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Источник порогов не задан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HOMA-IR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Инсулинорезистентность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значения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Натощак; без инсулинотерапии; не СД1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Matthews 1985 [16]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Библиография не сверена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TyG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Суррогат инсулинорезистентности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произведение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Натощак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Simental-Mendía 2008 [14]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Подтверждено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AIP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Атерогенность липидного профиля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ТГ, ЛПВП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ТГ натощак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Dobiášová 2001 [15]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Подтверждено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Non-HDL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Атерогенный холестерин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ммоль/л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Взрослые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ESC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Формула владельца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eGFR CKD-EPI 2021 cr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Расчётная СКФ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мл/мин/1,73 м²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Scr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≥ 18 лет, IDMS, стабильная функция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NKF [11], Inker 2021 [12]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Подтверждено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ACR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Альбуминурия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мг/ммоль, мг/г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креатинин мочи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Одна порция мочи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Формула владельца; KDIGO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Пороги требуют сверки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FIB-4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Риск выраженного фиброза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тромбоциты, АЛТ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Взрослые с ХЗП, ненадёжен &lt; 35 лет; пороги ≤65/&gt;65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Sterling 2006 [17]; EASL 2024 [18]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Пороги подтверждены вторично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NLR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Соотношение нейтрофилов и лимфоцитов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лимфоциты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Без острой инфекции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Формула владельца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Пороги не заданы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SII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Индекс системного иммунного воспаления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×10⁹/л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лимфоциты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Без острой инфекции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Hu 2014 [19]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Библиография не сверена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10-летний риск ССС событий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 модели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40–69, без ССЗ, СД, ХБП, СГХС; регион high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[8], [10], [7]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Коэффициенты к переносу и сверке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SCORE2-OP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10-летний риск ССС событий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 модели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70–89, те же исключения; регион high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[9], [10], [7]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Коэффициенты к переносу и сверке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CAIDE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20-летний риск деменции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баллы 0–15; %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Средний возраст 39–64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Kivipelto 2006 [13]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Таблица частично; требует сверки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 Kazakhstan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10-летняя вероятность переломов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% (2 значения)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 сервису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40–90; все факторы да/нет; МПК шейки бедра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FRAXplus [1]–[6]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API требует проверки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ASMI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Индекс массы мышц конечностей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кг/м²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рост &gt; 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Только при ASM из отчёта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Формула ASM/рост²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Пороги не заданы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 One итог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Показатель аппарата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как в заключении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 документации производителя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 One</w:t>
            </w:r>
          </w:p>
        </w:tc>
        <w:tc>
          <w:tcPr>
            <w:tcW w:type="dxa" w:w="119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Образец не получен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Г. Ветки: текущие и будущие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814"/>
        <w:gridCol w:w="1020"/>
        <w:gridCol w:w="2721"/>
        <w:gridCol w:w="2381"/>
        <w:gridCol w:w="1417"/>
      </w:tblGrid>
      <w:tr>
        <w:trPr>
          <w:tblHeader w:val="true"/>
        </w:trPr>
        <w:tc>
          <w:tcPr>
            <w:tcW w:type="dxa" w:w="181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Ветка</w:t>
            </w:r>
          </w:p>
        </w:tc>
        <w:tc>
          <w:tcPr>
            <w:tcW w:type="dxa" w:w="1020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272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Индексы/входы</w:t>
            </w:r>
          </w:p>
        </w:tc>
        <w:tc>
          <w:tcPr>
            <w:tcW w:type="dxa" w:w="238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Формула домена</w:t>
            </w:r>
          </w:p>
        </w:tc>
        <w:tc>
          <w:tcPr>
            <w:tcW w:type="dxa" w:w="141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Вес v0.3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Cardio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 / SCORE2-OP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0.7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Metabolic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HOMA-IR, TyG, AIP, WHtR (+BMI отдельно)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 (правило объединения)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1.5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eGFR, ACR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1.3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Hepatic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FIB-4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Inflammation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NLR, SII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1.4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Brain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CAIDE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1.2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Bone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MOF и Hip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 (какой риск)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0.9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Muscle / 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Visbody, хват, 5 вставаний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утверждена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null — не включено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Adaptive / Autonomic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Текущая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Итог LQ One + доп. поля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утверждена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null — не включено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Respiratory 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Будущая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Спирометрия, GLI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GI Functional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Будущая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GastroPanel, эластаза, кальпротектин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Immune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Будущая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Субпопуляции лимфоцитов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Mitochondrial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Будущая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МИТОпаспорт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Hormonal / Reproductive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Будущая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Раздельные мужская/женская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Отсутствует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Д. Матрица интеграций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360"/>
        <w:gridCol w:w="1247"/>
        <w:gridCol w:w="1701"/>
        <w:gridCol w:w="1020"/>
        <w:gridCol w:w="1474"/>
        <w:gridCol w:w="1247"/>
        <w:gridCol w:w="1304"/>
      </w:tblGrid>
      <w:tr>
        <w:trPr>
          <w:tblHeader w:val="true"/>
        </w:trPr>
        <w:tc>
          <w:tcPr>
            <w:tcW w:type="dxa" w:w="136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Система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Доступно сейчас</w:t>
            </w:r>
          </w:p>
        </w:tc>
        <w:tc>
          <w:tcPr>
            <w:tcW w:type="dxa" w:w="170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Нужно</w:t>
            </w:r>
          </w:p>
        </w:tc>
        <w:tc>
          <w:tcPr>
            <w:tcW w:type="dxa" w:w="1020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Направление</w:t>
            </w:r>
          </w:p>
        </w:tc>
        <w:tc>
          <w:tcPr>
            <w:tcW w:type="dxa" w:w="147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Сопоставление</w:t>
            </w:r>
          </w:p>
        </w:tc>
        <w:tc>
          <w:tcPr>
            <w:tcW w:type="dxa" w:w="1247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Ошибки</w:t>
            </w:r>
          </w:p>
        </w:tc>
        <w:tc>
          <w:tcPr>
            <w:tcW w:type="dxa" w:w="130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4"/>
              </w:rPr>
              <w:t>Критерий приёмки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FRAXplus облачный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Ручной режим; адаптер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Подписка, ключ, спецификация API, правовое основание передачи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LMB → FRAX → LMB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FRAXRequest → поля API, код страны из справочника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Коды 10.1.4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Раздел 18.2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FRAXplus локальный (Docker)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Документация образа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Лицензия на локальное API, сервер в РК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LMB → локальный FRAX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То же; заголовок x-api-key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То же + недоступность контейнера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Раздел 18.2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Ручной ввод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Образцы файлов, при наличии — описание выгрузки или API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Лаборатория → LMB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Код теста → ObservationDefinition, единицы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Неизвестный тест, конфликт пациента, дубликат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100 % показателей образцов сопоставлены, ошибки показаны врачу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Visbody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Ручной ввод, загрузка PDF/изображения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Образцы отчётов, модель аппарата, документация экспорта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Аппарат → LMB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Поля отчёта → DeviceMeasurement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Неизвестная модель, несовпадение роста/массы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Импорт образцов без потерь, подтверждение врачом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LQ One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Ручной ввод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Название и единица итога, образец заключения, документация экспорта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Аппарат → LMB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Итог + доп. поля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Плохое качество, неизвестная единица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Итог сохранён с названием, единицей, качеством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Спирометр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Решение о ветке, документация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Аппарат → LMB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Отдельное ТЗ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МИС клиники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Документация и доступ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Двусторонне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Пациент, визит, отчёт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Конфликт идентификаторов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Очередь 2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Bitrix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Документация портала и доступ</w:t>
            </w:r>
          </w:p>
        </w:tc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LMB → Bitrix (без медданных по умолчанию)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Контакт, статус визита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4"/>
              </w:rPr>
              <w:t>Очередь 2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Е. Схема конфигурации модели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Конфигурация хранится в ModelVersion.config, проверяется JSON-схемой при сохранении; выполнение произвольного кода и выражений не допускается. Ниже — структура с заполненными значениями v0.3, которые передал владелец, и пометками null там, где параметры отсутствуют.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"model": "LMB BioAge", "version": "v0.3", "synthetic_parameters": false,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"integral": 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"intercept": 0.08,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"weights": {"cardio": 0.7, "metabolic": 1.5, "renal": 1.3,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"hepatic": 1.0, "inflammation": 1.4, "brain": 1.2,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"bone": 0.9, "muscle": null, "adaptive": null},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"required_domains": ["cardio","metabolic","renal","hepatic",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"inflammation","brain","bone"],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"z_clip": 3.0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"target_population": null,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"sex_coding": {"female": 0, "male": 1},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"normalization": 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"&lt;indicator_code&gt;": 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"algorithm": "egfr_ckdepi_cr_2021@1", "unit": "mL/min/1.73m2",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"transform": "identity|ln|ln1p|log10",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"intercept": null, "age_coef": null, "sex_coef": null,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"age_sex_coef": null, "sign": null, "residual_sd": null,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"applicability": {"age_min": null, "age_max": null, "sex": ["female","male"]},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"reference_sample": {"id": null, "description": null}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"domains": 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"metabolic": {"rule": null, "inputs": ["homa_ir","tyg","aip","whtr"],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"weights": null, "missing_policy": "all_required"},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"bone":      {"rule": null, "inputs": ["frax_major_10y_pct",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                  "frax_hip_10y_pct"]},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"...": {}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"interpretation_templates": {}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Правила проверки: веса и постоянная совпадают с утверждённой версией; residual_sd &gt; 0; sign ∈ {+1, −1}; transform из перечня; каждый вход required_domains имеет правило; при любом null в обязательной части completeness = incomplete.</w:t>
      </w:r>
    </w:p>
    <w:p>
      <w:pPr>
        <w:pStyle w:val="Heading1"/>
      </w:pPr>
      <w:r>
        <w:t>Приложение Ж. Внутренний API: операции и примеры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4819"/>
        <w:gridCol w:w="1984"/>
        <w:gridCol w:w="2551"/>
      </w:tblGrid>
      <w:tr>
        <w:trPr>
          <w:tblHeader w:val="true"/>
        </w:trPr>
        <w:tc>
          <w:tcPr>
            <w:tcW w:type="dxa" w:w="481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Метод и маршрут</w:t>
            </w:r>
          </w:p>
        </w:tc>
        <w:tc>
          <w:tcPr>
            <w:tcW w:type="dxa" w:w="198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Доступ</w:t>
            </w:r>
          </w:p>
        </w:tc>
        <w:tc>
          <w:tcPr>
            <w:tcW w:type="dxa" w:w="255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/patients; GET /patients?query=; GET/PATCH /patients/{id}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Врач, адм.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Карточки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/patients/{id}/encounters; GET /encounters/{id}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Визиты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/encounters/{id}/observations; PATCH /observations/{id} (новая редакция)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Наблюдения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/observations/{id}/confirm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Подтверждение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GET/PUT /encounters/{id}/questionnaire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Врач; пациент — свои пункты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Анкета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/encounters/{id}/attachments; GET /attachments/{id}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Документы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/encounters/{id}/imports (kind=lab|visbody|lqone)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Импорт с последующим подтверждением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/encounters/{id}/calculations; GET /calculations/{id}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Запуск и просмотр расчёта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/encounters/{id}/frax-jobs; GET /frax-jobs/{id}; POST /frax-jobs/{id}/retry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 автоматический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/encounters/{id}/frax-manual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 ручной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GET /patients/{id}/dynamics?model_version=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Динамика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/calculations/{id}/reports; POST /reports/{id}/approve|issue|revoke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Врач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Отчёты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GET /me/reports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Пациент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Свои выданные отчёты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GET/POST /model-versions; POST /model-versions/{id}/transition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Отв. за модель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Версии модели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POST /research/exports; GET /research/exports/{id}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Исследователь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Выгрузка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GET /audit-events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Адм., отв. за модель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Журнал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Пример 1. Итог недоступен (текущее состояние: нет конфигурации).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"calculation_id": "6f1c…", "encounter_id": "a2b9…",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"input_version": "sha256:4be1…", "model_version": "v0.3",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"engine_version": "1.0.0+9c2e1f", "status": "blocked",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"indices": [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{"code": "egfr_ckdepi_cr_2021", "version": 1, "value": 104.049,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"unit": "mL/min/1.73m2", "status": "calculated", "warnings": []},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{"code": "homa_ir", "version": 1, "value": null, "unit": null,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"status": "not_applicable", "warnings": ["insulin_therapy=yes"]},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{"code": "frax_kz", "version": 1, "value": null,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"status": "integration_not_configured", "warnings": []}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"domains": [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"renal", "score": null, "status": "model_not_configured"},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"muscle", "score": null, "status": "not_included"},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"adaptive", "score": null, "status": "not_included"}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"contributions": null, "intercept": 0.08,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"bioage_years": null, "delta_years": null,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"warnings": ["model_config_incomplete"],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"missing_fields": ["normalization.egfr_ckdepi_cr_2021.intercept",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"domains.metabolic.rule", "frax_major_10y_pct"]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Пример 2. Итог рассчитан (условный тест на заданных доменных оценках; синтетическая конфигурация, не клинический результат).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{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"calculation_id": "91aa…", "encounter_id": "c7d0…",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"input_version": "sha256:77f0…", "model_version": "v0.3-synthetic",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"engine_version": "1.0.0+9c2e1f", "status": "calculated",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"indices": ["…"],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"domains": [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"cardio", "score": 0.5,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"metabolic", "score": -0.4,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"renal", "score": 0.2,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"hepatic", "score": -1.0,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"inflammation", "score": 0.3,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"brain", "score": 0.0,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"bone", "score": -0.6, "status": "calculated"},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"muscle", "score": null, "status": "not_included"},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{"domain": "adaptive", "score": null, "status": "not_included"}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"contributions": {"cardio": 0.35, "metabolic": -0.6, "renal": 0.26,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"hepatic": -1.0, "inflammation": 0.42, "brain": 0.0, "bone": -0.54},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"intercept": 0.08, "delta_years": -1.03, "bioage_years": 50.97,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"warnings": ["synthetic_parameters", "research_only"],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"missing_fields": []</w:t>
      </w:r>
    </w:p>
    <w:p>
      <w:pPr>
        <w:ind w:left="283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Проверка примера 2: 0,08 + 0,35 − 0,6 + 0,26 − 1,0 + 0,42 + 0 − 0,54 = −1,03; календарный возраст 52 лет; 52 − 1,03 = 50,97.</w:t>
      </w:r>
    </w:p>
    <w:p>
      <w:pPr>
        <w:pStyle w:val="Heading1"/>
      </w:pPr>
      <w:r>
        <w:t>Приложение З. Контрольные пациенты и эталоны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Все пациенты синтетические. Происхождение: «владелец» — эталон из промта; «формула» — рассчитано по опубликованной формуле разработчиком (при приёмке сверяется с калькулятором NKF или иным официальным инструментом); «сервис» — ответ официального сервиса. Допуск — абсолютная разница до округления отображения.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1045"/>
        <w:gridCol w:w="1394"/>
        <w:gridCol w:w="2905"/>
        <w:gridCol w:w="1801"/>
        <w:gridCol w:w="1278"/>
        <w:gridCol w:w="929"/>
      </w:tblGrid>
      <w:tr>
        <w:trPr>
          <w:tblHeader w:val="true"/>
        </w:trPr>
        <w:tc>
          <w:tcPr>
            <w:tcW w:type="dxa" w:w="1046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13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Проверка</w:t>
            </w:r>
          </w:p>
        </w:tc>
        <w:tc>
          <w:tcPr>
            <w:tcW w:type="dxa" w:w="290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Вход</w:t>
            </w:r>
          </w:p>
        </w:tc>
        <w:tc>
          <w:tcPr>
            <w:tcW w:type="dxa" w:w="1801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Ожидаемо</w:t>
            </w:r>
          </w:p>
        </w:tc>
        <w:tc>
          <w:tcPr>
            <w:tcW w:type="dxa" w:w="127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Происхождение</w:t>
            </w:r>
          </w:p>
        </w:tc>
        <w:tc>
          <w:tcPr>
            <w:tcW w:type="dxa" w:w="930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Допуск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Z-01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HOMA-IR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глюкоза 5 ммоль/л; инсулин 9 мкЕд/мл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1e−9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Z-02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WHtR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талия 85; рост 170 см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0,5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1e−9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Z-03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AIP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ТГ 1,5; ЛПВП 1,5 ммоль/л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1e−9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Z-04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ACR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альбумин 20 мг/л; креатинин мочи 10 ммоль/л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 мг/ммоль; 17,68 мг/г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1e−9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Z-05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FIB-4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50 лет; АСТ 20; АЛТ 25; тромб. 200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1e−9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Z-06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NLR, SII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нейтр. 4; лимф. 2; тромб. 250 ×10⁹/л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2; 500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1e−9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Z-07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AIP отриц.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ТГ 0,8; ЛПВП 1,6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-0,30103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1e−6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Z-08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TyG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ТГ 1,5; глюкоза 5,0 ммоль/л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8,6969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1e−4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Z-09 (T-TYG-2)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TyG, ловушка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 же; неверная форма ln(…)/2 даёт 4,6950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результат ≠ 4,69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Z-10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FIB-4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62 года; АСТ 35; АЛТ 30; тромб. 180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2,2010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1e−4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Z-11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 ж, Scr/k &lt; 1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ж, 50 лет, креатинин 53,04 мкмоль/л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109,283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1e−3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Z-12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 ж, Scr/k &gt; 1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ж, 60 лет, 88,4 мкмоль/л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64,495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1e−3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Z-13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 м, Scr/k = 1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м, 50 лет, 79,56 мкмоль/л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104,049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1e−3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Z-14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 м, Scr/k &lt; 1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м, 45 лет, 70 мкмоль/л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111,566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1e−3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Z-15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eGFR м, Scr/k &gt; 1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м, 62 года, 110 мкмоль/л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65,462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1e−3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Z-16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BMI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80 кг; 175 см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26,1224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1e−4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Z-17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v0.3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все 7 доменов = 0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0,08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1e−12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Z-18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v0.3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Cardio = 1, остальные 0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0,78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1e−12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Z-19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v0.3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все 7 = 1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8,08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владелец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1e−12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Z-20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v0.3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домены примера 2 приложения Ж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−1,03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формула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1e−12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Z-21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20 синтетических случаев 40–69 лет, регион high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значения HeartScore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сервис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±0,1 п. п.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Z-22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SCORE2-OP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 случаев 70–89 лет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значения HeartScore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сервис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±0,1 п. п.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Z-23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CAIDE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 случаев по всем категориям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баллы по оригинальной таблице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первоисточник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точно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Z-24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10 случаев с МПК и без, оба пола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ответы официального сервиса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сервис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точно до 0,1 п. п.</w:t>
            </w:r>
          </w:p>
        </w:tc>
      </w:tr>
      <w:tr>
        <w:tc>
          <w:tcPr>
            <w:tcW w:type="dxa" w:w="104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Z-25</w:t>
            </w:r>
          </w:p>
        </w:tc>
        <w:tc>
          <w:tcPr>
            <w:tcW w:type="dxa" w:w="13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LMB BioAge сквозной</w:t>
            </w:r>
          </w:p>
        </w:tc>
        <w:tc>
          <w:tcPr>
            <w:tcW w:type="dxa" w:w="290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8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сформировать невозможно: нет конфигурации</w:t>
            </w:r>
          </w:p>
        </w:tc>
        <w:tc>
          <w:tcPr>
            <w:tcW w:type="dxa" w:w="127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9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i w:val="0"/>
          <w:sz w:val="24"/>
        </w:rPr>
        <w:t>Контрольные ситуации применимости и блокировки: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793"/>
        <w:gridCol w:w="4309"/>
        <w:gridCol w:w="4252"/>
      </w:tblGrid>
      <w:tr>
        <w:trPr>
          <w:tblHeader w:val="true"/>
        </w:trPr>
        <w:tc>
          <w:tcPr>
            <w:tcW w:type="dxa" w:w="79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4309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Ситуация</w:t>
            </w:r>
          </w:p>
        </w:tc>
        <w:tc>
          <w:tcPr>
            <w:tcW w:type="dxa" w:w="425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Ожидаемый статус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B-01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FRAX, возраст 35 или 91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not_applicable; внешний запрос не отправлен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B-02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FRAX, фактор риска «неизвестно»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missing_data; запрос не отправлен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B-03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в LMB female=0, во внешнем API женщины=1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запрос содержит корректный код (тест сопоставления)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B-04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HOMA-IR при инсулинотерапии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not_applicable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B-05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Нейтрофилы в процентах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invalid_input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B-06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ТГ = 0 для AIP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invalid_input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B-07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Лимфоциты = 0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invalid_input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B-08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пола или возраста для eGFR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missing_data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B-09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CAIDE в 66 лет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not_applicable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B-10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 69 лет / SCORE2-OP 70 лет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выбор модели по возрасту на дату обследования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B-11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SCORE2 при диабете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not_applicable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B-12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ResidualSD = 0 в конфигурации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версия не проходит проверку схемы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B-13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Z_raw = 4,2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Z_clipped = 3; Z_raw сохранён; предупреждение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B-14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домена Brain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bioage_years = null; причина перечислена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B-15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Возраст LQ One задан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влияет на DeltaBioAge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B-16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Глюкоза и инсулин с разных дат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awaiting_review или missing_data по правилу окон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B-17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Неподтверждённое распознавание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используется в расчёте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B-18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Изменение данных во время запроса FRAX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поздний ответ привязан к старому снимку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B-19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Ошибка авторизации / лимит / тайм-аут FRAX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auth_failed / quota_exhausted / timeout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B-20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HTTP 200 с риском 140 %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response_schema_invalid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B-21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Пересчёт старого визита новой версией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новый CalculationRun; старый не изменён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B-22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Запрос карточки другой клиники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404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B-23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Значение «&lt;0,5»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invalid_input до утверждения правила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И. Блокирующие ситуации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835"/>
        <w:gridCol w:w="3118"/>
        <w:gridCol w:w="3402"/>
      </w:tblGrid>
      <w:tr>
        <w:trPr>
          <w:tblHeader w:val="true"/>
        </w:trPr>
        <w:tc>
          <w:tcPr>
            <w:tcW w:type="dxa" w:w="28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Ситуация</w:t>
            </w:r>
          </w:p>
        </w:tc>
        <w:tc>
          <w:tcPr>
            <w:tcW w:type="dxa" w:w="311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Что блокируется</w:t>
            </w:r>
          </w:p>
        </w:tc>
        <w:tc>
          <w:tcPr>
            <w:tcW w:type="dxa" w:w="3402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Что остаётся доступным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пакета нормализации v0.3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Все доменные оценки, вклады, итог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Индексы, FRAX, оборудование, отчёты без итога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правила объединения ветки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Доменная оценка ветки и итог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Индексы ветки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целевой популяции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Итог в пациентском отчёте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Итог врачу в исследовательском режиме (при полной конфигурации)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доступа к FRAX API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Автоматический FRAX, его приёмка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ввод FRAX, Bone по ручному результату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образцов Visbody/LQ One/лабораторий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Импорт файлов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Ручной ввод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сверены SCORE2/SCORE2-OP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Cardio индекс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Остальные ветки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сверена таблица CAIDE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Brain индекс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Остальные ветки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правовой проверки и сервера в РК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Работа с реальными пациентами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Разработка на синтетических данных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Пациент вне области применения индекса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Индекс и зависимый домен, итог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Прочие индексы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К. Матрица «требование → реализация → тест → критерий приёмки»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355" w:type="dxa"/>
      </w:tblPr>
      <w:tblGrid>
        <w:gridCol w:w="2835"/>
        <w:gridCol w:w="2268"/>
        <w:gridCol w:w="1984"/>
        <w:gridCol w:w="2268"/>
      </w:tblGrid>
      <w:tr>
        <w:trPr>
          <w:tblHeader w:val="true"/>
        </w:trPr>
        <w:tc>
          <w:tcPr>
            <w:tcW w:type="dxa" w:w="2835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Требование</w:t>
            </w:r>
          </w:p>
        </w:tc>
        <w:tc>
          <w:tcPr>
            <w:tcW w:type="dxa" w:w="226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Реализация</w:t>
            </w:r>
          </w:p>
        </w:tc>
        <w:tc>
          <w:tcPr>
            <w:tcW w:type="dxa" w:w="1984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Тест</w:t>
            </w:r>
          </w:p>
        </w:tc>
        <w:tc>
          <w:tcPr>
            <w:tcW w:type="dxa" w:w="2268"/>
            <w:shd w:val="clear" w:color="auto" w:fill="E7E6E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16"/>
              </w:rPr>
              <w:t>Критерий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Девять веток, раздельные статусы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DomainResult, профиль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S1, B-14, B-15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18.1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Формулы и единицы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lmb_engine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Z-01…Z-16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Все эталоны в допуске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Применимость отдельно от вычислимости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applicability в AlgorithmDefinition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B-01, B-04, B-09…B-11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Статусы корректны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v0.3 без коррекции, вклады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integral в ModelVersion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Z-17…Z-20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Совпадение до 1e−12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Блокировка итога без перераспределения весов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engine.integral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B-14, пример 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bioage = null, причины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Z_raw и Z_clipped раздельно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IndexResult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Оба значения сохранены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ResidualSD &gt; 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Схема конфигурации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Версия не активируется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 автоматический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FRAXProvider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Z-24, B-19, B-20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18.2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FRAX: неизвестно ≠ нет, возраст без подмены, пол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Проверка FRAXRequest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B-01…B-03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Запрос не отправлен / код верный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FRAX ручной резерв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ManualFraxProvider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Источник виден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Поздний ответ не подменяет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Привязка к snapshot_id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B-18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Новый снимок не изменён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Unknown и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tristate, value_num null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B-02, S7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нулей вместо пропусков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Цензурированные значения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qualifier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B-23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 подставляются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Редакции и воспроизводимость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Observation.revision, InputSnapshot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S3, B-21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Старый расчёт воспроизводим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Права доступа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Политики, роли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B-22, матрица 2.2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утечек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Отчёты неизменяемы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Report + sha256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PDF не меняется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Диаграммы без смешения шкал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Компоненты визуализации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Проверка интерфейса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Разные единицы на разных осях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Исследовательская выгрузка без ФИО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research.export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Тест выгрузки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Нет прямых идентификаторов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Резервное копирование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Архив WAL, копии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S9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RPO ≤ 15 мин, RTO ≤ 4 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Синтетика отделена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is_test, synthetic_parameters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Тест рабочей среды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16"/>
              </w:rPr>
              <w:t>Тестовые данные не записываются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