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6"/>
        </w:rPr>
        <w:t>LAB 8 – PART A</w:t>
      </w:r>
    </w:p>
    <w:p>
      <w:pPr>
        <w:jc w:val="center"/>
      </w:pPr>
      <w:r>
        <w:rPr>
          <w:b/>
          <w:color w:val="5B9BD5"/>
          <w:sz w:val="26"/>
        </w:rPr>
        <w:t>HTML / CSS Layout Explanation</w:t>
      </w:r>
    </w:p>
    <w:p>
      <w:pPr>
        <w:jc w:val="center"/>
      </w:pPr>
      <w:r>
        <w:rPr>
          <w:i/>
          <w:sz w:val="21"/>
        </w:rPr>
        <w:t>Understanding float, clear, and percentage heights</w:t>
      </w:r>
    </w:p>
    <w:tbl>
      <w:tblPr>
        <w:tblW w:type="auto" w:w="0"/>
        <w:tblLook w:firstColumn="1" w:firstRow="1" w:lastColumn="0" w:lastRow="0" w:noHBand="0" w:noVBand="1" w:val="04A0"/>
      </w:tblPr>
      <w:tblGrid>
        <w:gridCol w:w="10224"/>
      </w:tblGrid>
      <w:tr>
        <w:tc>
          <w:tcPr>
            <w:tcW w:type="dxa" w:w="10224"/>
            <w:shd w:fill="5B9BD5"/>
          </w:tcPr>
          <w:p>
            <w:pPr>
              <w:spacing w:after="0"/>
            </w:pPr>
          </w:p>
        </w:tc>
      </w:tr>
    </w:tbl>
    <w:p>
      <w:pPr>
        <w:spacing w:before="200" w:after="100"/>
      </w:pPr>
      <w:r>
        <w:rPr>
          <w:b/>
          <w:color w:val="1F4E78"/>
          <w:sz w:val="30"/>
        </w:rPr>
        <w:t>There are two separate issues here.</w:t>
      </w:r>
    </w:p>
    <w:tbl>
      <w:tblPr>
        <w:tblW w:type="auto" w:w="0"/>
        <w:tblLook w:firstColumn="1" w:firstRow="1" w:lastColumn="0" w:lastRow="0" w:noHBand="0" w:noVBand="1" w:val="04A0"/>
      </w:tblPr>
      <w:tblGrid>
        <w:gridCol w:w="10224"/>
      </w:tblGrid>
      <w:tr>
        <w:tc>
          <w:tcPr>
            <w:tcW w:type="dxa" w:w="10224"/>
            <w:shd w:fill="FCE4D6"/>
          </w:tcPr>
          <w:p>
            <w:pPr>
              <w:spacing w:after="0"/>
            </w:pPr>
            <w:r>
              <w:rPr>
                <w:b/>
                <w:sz w:val="21"/>
              </w:rPr>
              <w:t>Issue 1: Why is “Content” appearing in the middle?</w:t>
            </w:r>
          </w:p>
        </w:tc>
      </w:tr>
    </w:tbl>
    <w:p>
      <w:pPr>
        <w:spacing w:after="0"/>
      </w:pPr>
    </w:p>
    <w:p>
      <w:pPr>
        <w:spacing w:after="100" w:line="252" w:lineRule="auto"/>
      </w:pPr>
      <w:r>
        <w:rPr>
          <w:sz w:val="21"/>
        </w:rPr>
        <w:t>In the HTML, the word “Content” is written directly inside the .content div before the floated elements. Because the .entries and .sidebar elements are floated, normal text can flow around them. This can make the word “Content” appear in an unexpected position.</w:t>
      </w:r>
    </w:p>
    <w:tbl>
      <w:tblPr>
        <w:tblW w:type="auto" w:w="0"/>
        <w:tblLayout w:type="autofit"/>
        <w:tblLook w:firstColumn="1" w:firstRow="1" w:lastColumn="0" w:lastRow="0" w:noHBand="0" w:noVBand="1" w:val="04A0"/>
      </w:tblPr>
      <w:tblGrid>
        <w:gridCol w:w="10224"/>
      </w:tblGrid>
      <w:tr>
        <w:tc>
          <w:tcPr>
            <w:tcW w:type="dxa" w:w="10224"/>
            <w:shd w:fill="1E1E1E"/>
            <w:tcBorders>
              <w:top w:val="single" w:sz="8" w:color="333333"/>
              <w:left w:val="single" w:sz="8" w:color="333333"/>
              <w:bottom w:val="single" w:sz="8" w:color="333333"/>
              <w:right w:val="single" w:sz="8" w:color="333333"/>
            </w:tcBorders>
          </w:tcPr>
          <w:p>
            <w:pPr>
              <w:spacing w:after="0" w:before="0"/>
            </w:pPr>
            <w:r>
              <w:rPr>
                <w:rFonts w:ascii="Consolas" w:hAnsi="Consolas"/>
                <w:color w:val="569CD6"/>
                <w:sz w:val="18"/>
              </w:rPr>
              <w:t>&lt;div</w:t>
            </w:r>
            <w:r>
              <w:t xml:space="preserve"> </w:t>
            </w:r>
            <w:r>
              <w:rPr>
                <w:rFonts w:ascii="Consolas" w:hAnsi="Consolas"/>
                <w:color w:val="D4D4D4"/>
                <w:sz w:val="18"/>
              </w:rPr>
              <w:t>class="content"&gt;Content</w:t>
            </w:r>
            <w:r>
              <w:br/>
            </w:r>
            <w:r>
              <w:rPr>
                <w:rFonts w:ascii="Consolas" w:hAnsi="Consolas"/>
                <w:color w:val="D4D4D4"/>
                <w:sz w:val="18"/>
              </w:rPr>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569CD6"/>
                <w:sz w:val="18"/>
              </w:rPr>
              <w:t>&lt;div</w:t>
            </w:r>
            <w:r>
              <w:t xml:space="preserve"> </w:t>
            </w:r>
            <w:r>
              <w:rPr>
                <w:rFonts w:ascii="Consolas" w:hAnsi="Consolas"/>
                <w:color w:val="D4D4D4"/>
                <w:sz w:val="18"/>
              </w:rPr>
              <w:t>class="entries"&gt;</w:t>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t>...</w:t>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569CD6"/>
                <w:sz w:val="18"/>
              </w:rPr>
              <w:t>&lt;/div&gt;</w:t>
            </w:r>
            <w:r>
              <w:br/>
            </w:r>
            <w:r>
              <w:rPr>
                <w:rFonts w:ascii="Consolas" w:hAnsi="Consolas"/>
                <w:color w:val="D4D4D4"/>
                <w:sz w:val="18"/>
              </w:rPr>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569CD6"/>
                <w:sz w:val="18"/>
              </w:rPr>
              <w:t>&lt;div</w:t>
            </w:r>
            <w:r>
              <w:t xml:space="preserve"> </w:t>
            </w:r>
            <w:r>
              <w:rPr>
                <w:rFonts w:ascii="Consolas" w:hAnsi="Consolas"/>
                <w:color w:val="D4D4D4"/>
                <w:sz w:val="18"/>
              </w:rPr>
              <w:t>class="sidebar"&gt;</w:t>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t>Sidebar</w:t>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569CD6"/>
                <w:sz w:val="18"/>
              </w:rPr>
              <w:t>&lt;/div&gt;</w:t>
            </w:r>
            <w:r>
              <w:br/>
            </w:r>
            <w:r>
              <w:rPr>
                <w:rFonts w:ascii="Consolas" w:hAnsi="Consolas"/>
                <w:color w:val="D4D4D4"/>
                <w:sz w:val="18"/>
              </w:rPr>
            </w:r>
            <w:r>
              <w:br/>
            </w:r>
            <w:r>
              <w:rPr>
                <w:rFonts w:ascii="Consolas" w:hAnsi="Consolas"/>
                <w:color w:val="569CD6"/>
                <w:sz w:val="18"/>
              </w:rPr>
              <w:t>&lt;/div&gt;</w:t>
            </w:r>
          </w:p>
        </w:tc>
      </w:tr>
    </w:tbl>
    <w:p>
      <w:pPr>
        <w:spacing w:after="20"/>
      </w:pPr>
    </w:p>
    <w:p>
      <w:pPr>
        <w:spacing w:after="100" w:line="252" w:lineRule="auto"/>
      </w:pPr>
      <w:r>
        <w:rPr>
          <w:sz w:val="21"/>
        </w:rPr>
        <w:t>If “Content” is intended to appear as a heading at the top of the orange section, place it inside its own block-level div before the floated sections.</w:t>
      </w:r>
    </w:p>
    <w:tbl>
      <w:tblPr>
        <w:tblW w:type="auto" w:w="0"/>
        <w:tblLayout w:type="autofit"/>
        <w:tblLook w:firstColumn="1" w:firstRow="1" w:lastColumn="0" w:lastRow="0" w:noHBand="0" w:noVBand="1" w:val="04A0"/>
      </w:tblPr>
      <w:tblGrid>
        <w:gridCol w:w="10224"/>
      </w:tblGrid>
      <w:tr>
        <w:tc>
          <w:tcPr>
            <w:tcW w:type="dxa" w:w="10224"/>
            <w:shd w:fill="1E1E1E"/>
            <w:tcBorders>
              <w:top w:val="single" w:sz="8" w:color="333333"/>
              <w:left w:val="single" w:sz="8" w:color="333333"/>
              <w:bottom w:val="single" w:sz="8" w:color="333333"/>
              <w:right w:val="single" w:sz="8" w:color="333333"/>
            </w:tcBorders>
          </w:tcPr>
          <w:p>
            <w:pPr>
              <w:spacing w:after="0" w:before="0"/>
            </w:pPr>
            <w:r>
              <w:rPr>
                <w:rFonts w:ascii="Consolas" w:hAnsi="Consolas"/>
                <w:color w:val="569CD6"/>
                <w:sz w:val="18"/>
              </w:rPr>
              <w:t>&lt;div</w:t>
            </w:r>
            <w:r>
              <w:t xml:space="preserve"> </w:t>
            </w:r>
            <w:r>
              <w:rPr>
                <w:rFonts w:ascii="Consolas" w:hAnsi="Consolas"/>
                <w:color w:val="D4D4D4"/>
                <w:sz w:val="18"/>
              </w:rPr>
              <w:t>class="content"&gt;</w:t>
            </w:r>
            <w:r>
              <w:br/>
            </w:r>
            <w:r>
              <w:rPr>
                <w:rFonts w:ascii="Consolas" w:hAnsi="Consolas"/>
                <w:color w:val="D4D4D4"/>
                <w:sz w:val="18"/>
              </w:rPr>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569CD6"/>
                <w:sz w:val="18"/>
              </w:rPr>
              <w:t>&lt;div&gt;Content&lt;/div&gt;</w:t>
            </w:r>
            <w:r>
              <w:br/>
            </w:r>
            <w:r>
              <w:rPr>
                <w:rFonts w:ascii="Consolas" w:hAnsi="Consolas"/>
                <w:color w:val="D4D4D4"/>
                <w:sz w:val="18"/>
              </w:rPr>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569CD6"/>
                <w:sz w:val="18"/>
              </w:rPr>
              <w:t>&lt;div</w:t>
            </w:r>
            <w:r>
              <w:t xml:space="preserve"> </w:t>
            </w:r>
            <w:r>
              <w:rPr>
                <w:rFonts w:ascii="Consolas" w:hAnsi="Consolas"/>
                <w:color w:val="D4D4D4"/>
                <w:sz w:val="18"/>
              </w:rPr>
              <w:t>class="entries"&gt;</w:t>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569CD6"/>
                <w:sz w:val="18"/>
              </w:rPr>
              <w:t>&lt;div</w:t>
            </w:r>
            <w:r>
              <w:t xml:space="preserve"> </w:t>
            </w:r>
            <w:r>
              <w:rPr>
                <w:rFonts w:ascii="Consolas" w:hAnsi="Consolas"/>
                <w:color w:val="D4D4D4"/>
                <w:sz w:val="18"/>
              </w:rPr>
              <w:t>class="entry"&gt;Entry&lt;/div&gt;</w:t>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569CD6"/>
                <w:sz w:val="18"/>
              </w:rPr>
              <w:t>&lt;div</w:t>
            </w:r>
            <w:r>
              <w:t xml:space="preserve"> </w:t>
            </w:r>
            <w:r>
              <w:rPr>
                <w:rFonts w:ascii="Consolas" w:hAnsi="Consolas"/>
                <w:color w:val="D4D4D4"/>
                <w:sz w:val="18"/>
              </w:rPr>
              <w:t>class="entry"&gt;Entry&lt;/div&gt;</w:t>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569CD6"/>
                <w:sz w:val="18"/>
              </w:rPr>
              <w:t>&lt;div</w:t>
            </w:r>
            <w:r>
              <w:t xml:space="preserve"> </w:t>
            </w:r>
            <w:r>
              <w:rPr>
                <w:rFonts w:ascii="Consolas" w:hAnsi="Consolas"/>
                <w:color w:val="D4D4D4"/>
                <w:sz w:val="18"/>
              </w:rPr>
              <w:t>class="entry"&gt;Entry&lt;/div&gt;</w:t>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569CD6"/>
                <w:sz w:val="18"/>
              </w:rPr>
              <w:t>&lt;/div&gt;</w:t>
            </w:r>
            <w:r>
              <w:br/>
            </w:r>
            <w:r>
              <w:rPr>
                <w:rFonts w:ascii="Consolas" w:hAnsi="Consolas"/>
                <w:color w:val="D4D4D4"/>
                <w:sz w:val="18"/>
              </w:rPr>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569CD6"/>
                <w:sz w:val="18"/>
              </w:rPr>
              <w:t>&lt;div</w:t>
            </w:r>
            <w:r>
              <w:t xml:space="preserve"> </w:t>
            </w:r>
            <w:r>
              <w:rPr>
                <w:rFonts w:ascii="Consolas" w:hAnsi="Consolas"/>
                <w:color w:val="D4D4D4"/>
                <w:sz w:val="18"/>
              </w:rPr>
              <w:t>class="sidebar"&gt;</w:t>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t>Sidebar</w:t>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569CD6"/>
                <w:sz w:val="18"/>
              </w:rPr>
              <w:t>&lt;/div&gt;</w:t>
            </w:r>
            <w:r>
              <w:br/>
            </w:r>
            <w:r>
              <w:rPr>
                <w:rFonts w:ascii="Consolas" w:hAnsi="Consolas"/>
                <w:color w:val="D4D4D4"/>
                <w:sz w:val="18"/>
              </w:rPr>
            </w:r>
            <w:r>
              <w:br/>
            </w:r>
            <w:r>
              <w:rPr>
                <w:rFonts w:ascii="Consolas" w:hAnsi="Consolas"/>
                <w:color w:val="569CD6"/>
                <w:sz w:val="18"/>
              </w:rPr>
              <w:t>&lt;/div&gt;</w:t>
            </w:r>
          </w:p>
        </w:tc>
      </w:tr>
    </w:tbl>
    <w:p>
      <w:pPr>
        <w:spacing w:after="20"/>
      </w:pPr>
    </w:p>
    <w:tbl>
      <w:tblPr>
        <w:tblW w:type="auto" w:w="0"/>
        <w:tblLook w:firstColumn="1" w:firstRow="1" w:lastColumn="0" w:lastRow="0" w:noHBand="0" w:noVBand="1" w:val="04A0"/>
      </w:tblPr>
      <w:tblGrid>
        <w:gridCol w:w="10224"/>
      </w:tblGrid>
      <w:tr>
        <w:tc>
          <w:tcPr>
            <w:tcW w:type="dxa" w:w="10224"/>
            <w:shd w:fill="E2F0D9"/>
          </w:tcPr>
          <w:p>
            <w:pPr>
              <w:spacing w:after="0"/>
            </w:pPr>
            <w:r>
              <w:rPr>
                <w:b/>
                <w:sz w:val="21"/>
              </w:rPr>
              <w:t>Key idea: float affects how surrounding normal content flows.</w:t>
            </w:r>
          </w:p>
        </w:tc>
      </w:tr>
    </w:tbl>
    <w:p>
      <w:pPr>
        <w:spacing w:after="0"/>
      </w:pPr>
    </w:p>
    <w:p>
      <w:pPr>
        <w:spacing w:before="200" w:after="100"/>
      </w:pPr>
      <w:r>
        <w:rPr>
          <w:b/>
          <w:color w:val="1F4E78"/>
          <w:sz w:val="30"/>
        </w:rPr>
        <w:t>Issue 2: Why can’t .page use height: 100%?</w:t>
      </w:r>
    </w:p>
    <w:p>
      <w:pPr>
        <w:spacing w:after="100" w:line="252" w:lineRule="auto"/>
      </w:pPr>
      <w:r>
        <w:rPr>
          <w:sz w:val="21"/>
        </w:rPr>
        <w:t>You can use height: 100%, but percentage heights depend on the height of the parent element. In this case, .page is inside &lt;body&gt;. If the parent does not have an explicitly defined height, the browser does not have a clear height reference for 100%.</w:t>
      </w:r>
    </w:p>
    <w:tbl>
      <w:tblPr>
        <w:tblW w:type="auto" w:w="0"/>
        <w:tblLayout w:type="autofit"/>
        <w:tblLook w:firstColumn="1" w:firstRow="1" w:lastColumn="0" w:lastRow="0" w:noHBand="0" w:noVBand="1" w:val="04A0"/>
      </w:tblPr>
      <w:tblGrid>
        <w:gridCol w:w="10224"/>
      </w:tblGrid>
      <w:tr>
        <w:tc>
          <w:tcPr>
            <w:tcW w:type="dxa" w:w="10224"/>
            <w:shd w:fill="1E1E1E"/>
            <w:tcBorders>
              <w:top w:val="single" w:sz="8" w:color="333333"/>
              <w:left w:val="single" w:sz="8" w:color="333333"/>
              <w:bottom w:val="single" w:sz="8" w:color="333333"/>
              <w:right w:val="single" w:sz="8" w:color="333333"/>
            </w:tcBorders>
          </w:tcPr>
          <w:p>
            <w:pPr>
              <w:spacing w:after="0" w:before="0"/>
            </w:pPr>
            <w:r>
              <w:rPr>
                <w:rFonts w:ascii="Consolas" w:hAnsi="Consolas"/>
                <w:color w:val="D4D4D4"/>
                <w:sz w:val="18"/>
              </w:rPr>
              <w:t>.page</w:t>
            </w:r>
            <w:r>
              <w:t xml:space="preserve"> </w:t>
            </w:r>
            <w:r>
              <w:rPr>
                <w:rFonts w:ascii="Consolas" w:hAnsi="Consolas"/>
                <w:color w:val="D4D4D4"/>
                <w:sz w:val="18"/>
              </w:rPr>
              <w:t>{</w:t>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9CDCFE"/>
                <w:sz w:val="18"/>
              </w:rPr>
              <w:t>width:</w:t>
            </w:r>
            <w:r>
              <w:t xml:space="preserve"> </w:t>
            </w:r>
            <w:r>
              <w:rPr>
                <w:rFonts w:ascii="Consolas" w:hAnsi="Consolas"/>
                <w:color w:val="D4D4D4"/>
                <w:sz w:val="18"/>
              </w:rPr>
              <w:t>100%;</w:t>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9CDCFE"/>
                <w:sz w:val="18"/>
              </w:rPr>
              <w:t>height:</w:t>
            </w:r>
            <w:r>
              <w:t xml:space="preserve"> </w:t>
            </w:r>
            <w:r>
              <w:rPr>
                <w:rFonts w:ascii="Consolas" w:hAnsi="Consolas"/>
                <w:color w:val="D4D4D4"/>
                <w:sz w:val="18"/>
              </w:rPr>
              <w:t>100%;</w:t>
            </w:r>
            <w:r>
              <w:br/>
            </w:r>
            <w:r>
              <w:rPr>
                <w:rFonts w:ascii="Consolas" w:hAnsi="Consolas"/>
                <w:color w:val="D4D4D4"/>
                <w:sz w:val="18"/>
              </w:rPr>
              <w:t>}</w:t>
            </w:r>
          </w:p>
        </w:tc>
      </w:tr>
    </w:tbl>
    <w:p>
      <w:pPr>
        <w:spacing w:after="20"/>
      </w:pPr>
    </w:p>
    <w:tbl>
      <w:tblPr>
        <w:tblW w:type="auto" w:w="0"/>
        <w:tblLook w:firstColumn="1" w:firstRow="1" w:lastColumn="0" w:lastRow="0" w:noHBand="0" w:noVBand="1" w:val="04A0"/>
      </w:tblPr>
      <w:tblGrid>
        <w:gridCol w:w="10224"/>
      </w:tblGrid>
      <w:tr>
        <w:tc>
          <w:tcPr>
            <w:tcW w:type="dxa" w:w="10224"/>
            <w:shd w:fill="FFF2CC"/>
          </w:tcPr>
          <w:p>
            <w:pPr>
              <w:spacing w:after="0"/>
            </w:pPr>
            <w:r>
              <w:rPr>
                <w:b/>
                <w:sz w:val="21"/>
              </w:rPr>
              <w:t>100% means 100% of the parent’s defined height — not automatically 100% of the browser screen.</w:t>
            </w:r>
          </w:p>
        </w:tc>
      </w:tr>
    </w:tbl>
    <w:p>
      <w:pPr>
        <w:spacing w:after="0"/>
      </w:pPr>
    </w:p>
    <w:p>
      <w:pPr>
        <w:spacing w:before="200" w:after="100"/>
      </w:pPr>
      <w:r>
        <w:rPr>
          <w:b/>
          <w:color w:val="1F4E78"/>
          <w:sz w:val="24"/>
        </w:rPr>
        <w:t>If you want 100% of the browser viewport</w:t>
      </w:r>
    </w:p>
    <w:p>
      <w:pPr>
        <w:spacing w:after="100" w:line="252" w:lineRule="auto"/>
      </w:pPr>
      <w:r>
        <w:rPr>
          <w:sz w:val="21"/>
        </w:rPr>
        <w:t>Use 100vh. The unit vh means viewport height. Therefore, 100vh represents the full height of the visible browser window.</w:t>
      </w:r>
    </w:p>
    <w:tbl>
      <w:tblPr>
        <w:tblW w:type="auto" w:w="0"/>
        <w:tblLayout w:type="autofit"/>
        <w:tblLook w:firstColumn="1" w:firstRow="1" w:lastColumn="0" w:lastRow="0" w:noHBand="0" w:noVBand="1" w:val="04A0"/>
      </w:tblPr>
      <w:tblGrid>
        <w:gridCol w:w="10224"/>
      </w:tblGrid>
      <w:tr>
        <w:tc>
          <w:tcPr>
            <w:tcW w:type="dxa" w:w="10224"/>
            <w:shd w:fill="1E1E1E"/>
            <w:tcBorders>
              <w:top w:val="single" w:sz="8" w:color="333333"/>
              <w:left w:val="single" w:sz="8" w:color="333333"/>
              <w:bottom w:val="single" w:sz="8" w:color="333333"/>
              <w:right w:val="single" w:sz="8" w:color="333333"/>
            </w:tcBorders>
          </w:tcPr>
          <w:p>
            <w:pPr>
              <w:spacing w:after="0" w:before="0"/>
            </w:pPr>
            <w:r>
              <w:rPr>
                <w:rFonts w:ascii="Consolas" w:hAnsi="Consolas"/>
                <w:color w:val="D4D4D4"/>
                <w:sz w:val="18"/>
              </w:rPr>
              <w:t>.page</w:t>
            </w:r>
            <w:r>
              <w:t xml:space="preserve"> </w:t>
            </w:r>
            <w:r>
              <w:rPr>
                <w:rFonts w:ascii="Consolas" w:hAnsi="Consolas"/>
                <w:color w:val="D4D4D4"/>
                <w:sz w:val="18"/>
              </w:rPr>
              <w:t>{</w:t>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9CDCFE"/>
                <w:sz w:val="18"/>
              </w:rPr>
              <w:t>width:</w:t>
            </w:r>
            <w:r>
              <w:t xml:space="preserve"> </w:t>
            </w:r>
            <w:r>
              <w:rPr>
                <w:rFonts w:ascii="Consolas" w:hAnsi="Consolas"/>
                <w:color w:val="D4D4D4"/>
                <w:sz w:val="18"/>
              </w:rPr>
              <w:t>100%;</w:t>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9CDCFE"/>
                <w:sz w:val="18"/>
              </w:rPr>
              <w:t>height:</w:t>
            </w:r>
            <w:r>
              <w:t xml:space="preserve"> </w:t>
            </w:r>
            <w:r>
              <w:rPr>
                <w:rFonts w:ascii="Consolas" w:hAnsi="Consolas"/>
                <w:color w:val="D4D4D4"/>
                <w:sz w:val="18"/>
              </w:rPr>
              <w:t>100vh;</w:t>
            </w:r>
            <w:r>
              <w:br/>
            </w:r>
            <w:r>
              <w:rPr>
                <w:rFonts w:ascii="Consolas" w:hAnsi="Consolas"/>
                <w:color w:val="D4D4D4"/>
                <w:sz w:val="18"/>
              </w:rPr>
              <w:t>}</w:t>
            </w:r>
          </w:p>
        </w:tc>
      </w:tr>
    </w:tbl>
    <w:p>
      <w:pPr>
        <w:spacing w:after="20"/>
      </w:pPr>
    </w:p>
    <w:tbl>
      <w:tblPr>
        <w:tblW w:type="auto" w:w="0"/>
        <w:tblLook w:firstColumn="1" w:firstRow="1" w:lastColumn="0" w:lastRow="0" w:noHBand="0" w:noVBand="1" w:val="04A0"/>
      </w:tblPr>
      <w:tblGrid>
        <w:gridCol w:w="10224"/>
      </w:tblGrid>
      <w:tr>
        <w:tc>
          <w:tcPr>
            <w:tcW w:type="dxa" w:w="10224"/>
            <w:shd w:fill="DDEBF7"/>
          </w:tcPr>
          <w:p>
            <w:pPr>
              <w:spacing w:after="0"/>
            </w:pPr>
            <w:r>
              <w:rPr>
                <w:b/>
                <w:sz w:val="21"/>
              </w:rPr>
              <w:t>100vh = 100% of the viewport height.</w:t>
            </w:r>
          </w:p>
        </w:tc>
      </w:tr>
    </w:tbl>
    <w:p>
      <w:pPr>
        <w:spacing w:after="0"/>
      </w:pPr>
    </w:p>
    <w:p>
      <w:pPr>
        <w:spacing w:before="200" w:after="100"/>
      </w:pPr>
      <w:r>
        <w:rPr>
          <w:b/>
          <w:color w:val="1F4E78"/>
          <w:sz w:val="24"/>
        </w:rPr>
        <w:t>If you specifically want to use height: 100%</w:t>
      </w:r>
    </w:p>
    <w:p>
      <w:pPr>
        <w:spacing w:after="100" w:line="252" w:lineRule="auto"/>
      </w:pPr>
      <w:r>
        <w:rPr>
          <w:sz w:val="21"/>
        </w:rPr>
        <w:t>Give the parent elements a defined height first. Then .page can correctly calculate its 100% height from that parent.</w:t>
      </w:r>
    </w:p>
    <w:tbl>
      <w:tblPr>
        <w:tblW w:type="auto" w:w="0"/>
        <w:tblLayout w:type="autofit"/>
        <w:tblLook w:firstColumn="1" w:firstRow="1" w:lastColumn="0" w:lastRow="0" w:noHBand="0" w:noVBand="1" w:val="04A0"/>
      </w:tblPr>
      <w:tblGrid>
        <w:gridCol w:w="10224"/>
      </w:tblGrid>
      <w:tr>
        <w:tc>
          <w:tcPr>
            <w:tcW w:type="dxa" w:w="10224"/>
            <w:shd w:fill="1E1E1E"/>
            <w:tcBorders>
              <w:top w:val="single" w:sz="8" w:color="333333"/>
              <w:left w:val="single" w:sz="8" w:color="333333"/>
              <w:bottom w:val="single" w:sz="8" w:color="333333"/>
              <w:right w:val="single" w:sz="8" w:color="333333"/>
            </w:tcBorders>
          </w:tcPr>
          <w:p>
            <w:pPr>
              <w:spacing w:after="0" w:before="0"/>
            </w:pPr>
            <w:r>
              <w:rPr>
                <w:rFonts w:ascii="Consolas" w:hAnsi="Consolas"/>
                <w:color w:val="D4D4D4"/>
                <w:sz w:val="18"/>
              </w:rPr>
              <w:t>html,</w:t>
            </w:r>
            <w:r>
              <w:t xml:space="preserve"> </w:t>
            </w:r>
            <w:r>
              <w:rPr>
                <w:rFonts w:ascii="Consolas" w:hAnsi="Consolas"/>
                <w:color w:val="D4D4D4"/>
                <w:sz w:val="18"/>
              </w:rPr>
              <w:t>body</w:t>
            </w:r>
            <w:r>
              <w:t xml:space="preserve"> </w:t>
            </w:r>
            <w:r>
              <w:rPr>
                <w:rFonts w:ascii="Consolas" w:hAnsi="Consolas"/>
                <w:color w:val="D4D4D4"/>
                <w:sz w:val="18"/>
              </w:rPr>
              <w:t>{</w:t>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9CDCFE"/>
                <w:sz w:val="18"/>
              </w:rPr>
              <w:t>height:</w:t>
            </w:r>
            <w:r>
              <w:t xml:space="preserve"> </w:t>
            </w:r>
            <w:r>
              <w:rPr>
                <w:rFonts w:ascii="Consolas" w:hAnsi="Consolas"/>
                <w:color w:val="D4D4D4"/>
                <w:sz w:val="18"/>
              </w:rPr>
              <w:t>100%;</w:t>
            </w:r>
            <w:r>
              <w:br/>
            </w:r>
            <w:r>
              <w:rPr>
                <w:rFonts w:ascii="Consolas" w:hAnsi="Consolas"/>
                <w:color w:val="D4D4D4"/>
                <w:sz w:val="18"/>
              </w:rPr>
              <w:t>}</w:t>
            </w:r>
            <w:r>
              <w:br/>
            </w:r>
            <w:r>
              <w:rPr>
                <w:rFonts w:ascii="Consolas" w:hAnsi="Consolas"/>
                <w:color w:val="D4D4D4"/>
                <w:sz w:val="18"/>
              </w:rPr>
            </w:r>
            <w:r>
              <w:br/>
            </w:r>
            <w:r>
              <w:rPr>
                <w:rFonts w:ascii="Consolas" w:hAnsi="Consolas"/>
                <w:color w:val="D4D4D4"/>
                <w:sz w:val="18"/>
              </w:rPr>
              <w:t>body</w:t>
            </w:r>
            <w:r>
              <w:t xml:space="preserve"> </w:t>
            </w:r>
            <w:r>
              <w:rPr>
                <w:rFonts w:ascii="Consolas" w:hAnsi="Consolas"/>
                <w:color w:val="D4D4D4"/>
                <w:sz w:val="18"/>
              </w:rPr>
              <w:t>{</w:t>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t>margin:</w:t>
            </w:r>
            <w:r>
              <w:t xml:space="preserve"> </w:t>
            </w:r>
            <w:r>
              <w:rPr>
                <w:rFonts w:ascii="Consolas" w:hAnsi="Consolas"/>
                <w:color w:val="D4D4D4"/>
                <w:sz w:val="18"/>
              </w:rPr>
              <w:t>0;</w:t>
            </w:r>
            <w:r>
              <w:br/>
            </w:r>
            <w:r>
              <w:rPr>
                <w:rFonts w:ascii="Consolas" w:hAnsi="Consolas"/>
                <w:color w:val="D4D4D4"/>
                <w:sz w:val="18"/>
              </w:rPr>
              <w:t>}</w:t>
            </w:r>
            <w:r>
              <w:br/>
            </w:r>
            <w:r>
              <w:rPr>
                <w:rFonts w:ascii="Consolas" w:hAnsi="Consolas"/>
                <w:color w:val="D4D4D4"/>
                <w:sz w:val="18"/>
              </w:rPr>
            </w:r>
            <w:r>
              <w:br/>
            </w:r>
            <w:r>
              <w:rPr>
                <w:rFonts w:ascii="Consolas" w:hAnsi="Consolas"/>
                <w:color w:val="D4D4D4"/>
                <w:sz w:val="18"/>
              </w:rPr>
              <w:t>.page</w:t>
            </w:r>
            <w:r>
              <w:t xml:space="preserve"> </w:t>
            </w:r>
            <w:r>
              <w:rPr>
                <w:rFonts w:ascii="Consolas" w:hAnsi="Consolas"/>
                <w:color w:val="D4D4D4"/>
                <w:sz w:val="18"/>
              </w:rPr>
              <w:t>{</w:t>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9CDCFE"/>
                <w:sz w:val="18"/>
              </w:rPr>
              <w:t>width:</w:t>
            </w:r>
            <w:r>
              <w:t xml:space="preserve"> </w:t>
            </w:r>
            <w:r>
              <w:rPr>
                <w:rFonts w:ascii="Consolas" w:hAnsi="Consolas"/>
                <w:color w:val="D4D4D4"/>
                <w:sz w:val="18"/>
              </w:rPr>
              <w:t>100%;</w:t>
            </w:r>
            <w:r>
              <w:br/>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D4D4D4"/>
                <w:sz w:val="18"/>
              </w:rPr>
            </w:r>
            <w:r>
              <w:t xml:space="preserve"> </w:t>
            </w:r>
            <w:r>
              <w:rPr>
                <w:rFonts w:ascii="Consolas" w:hAnsi="Consolas"/>
                <w:color w:val="9CDCFE"/>
                <w:sz w:val="18"/>
              </w:rPr>
              <w:t>height:</w:t>
            </w:r>
            <w:r>
              <w:t xml:space="preserve"> </w:t>
            </w:r>
            <w:r>
              <w:rPr>
                <w:rFonts w:ascii="Consolas" w:hAnsi="Consolas"/>
                <w:color w:val="D4D4D4"/>
                <w:sz w:val="18"/>
              </w:rPr>
              <w:t>100%;</w:t>
            </w:r>
            <w:r>
              <w:br/>
            </w:r>
            <w:r>
              <w:rPr>
                <w:rFonts w:ascii="Consolas" w:hAnsi="Consolas"/>
                <w:color w:val="D4D4D4"/>
                <w:sz w:val="18"/>
              </w:rPr>
              <w:t>}</w:t>
            </w:r>
          </w:p>
        </w:tc>
      </w:tr>
    </w:tbl>
    <w:p>
      <w:pPr>
        <w:spacing w:after="20"/>
      </w:pPr>
    </w:p>
    <w:p>
      <w:pPr>
        <w:spacing w:before="200" w:after="100"/>
      </w:pPr>
      <w:r>
        <w:rPr>
          <w:b/>
          <w:color w:val="1F4E78"/>
          <w:sz w:val="24"/>
        </w:rPr>
        <w:t>How the percentage height is calculated</w:t>
      </w:r>
    </w:p>
    <w:tbl>
      <w:tblPr>
        <w:tblW w:type="auto" w:w="0"/>
        <w:tblLayout w:type="autofit"/>
        <w:tblLook w:firstColumn="1" w:firstRow="1" w:lastColumn="0" w:lastRow="0" w:noHBand="0" w:noVBand="1" w:val="04A0"/>
      </w:tblPr>
      <w:tblGrid>
        <w:gridCol w:w="10224"/>
      </w:tblGrid>
      <w:tr>
        <w:tc>
          <w:tcPr>
            <w:tcW w:type="dxa" w:w="10224"/>
            <w:shd w:fill="DDEBF7"/>
            <w:vAlign w:val="center"/>
          </w:tcPr>
          <w:p>
            <w:pPr>
              <w:jc w:val="center"/>
            </w:pPr>
            <w:r>
              <w:rPr>
                <w:b/>
                <w:sz w:val="22"/>
              </w:rPr>
              <w:t>HTML  →  100%</w:t>
            </w:r>
          </w:p>
        </w:tc>
      </w:tr>
      <w:tr>
        <w:tc>
          <w:tcPr>
            <w:tcW w:type="dxa" w:w="10224"/>
            <w:shd w:fill="E2F0D9"/>
            <w:vAlign w:val="center"/>
          </w:tcPr>
          <w:p>
            <w:pPr>
              <w:jc w:val="center"/>
            </w:pPr>
            <w:r>
              <w:rPr>
                <w:b/>
                <w:sz w:val="22"/>
              </w:rPr>
              <w:t>BODY  →  100%</w:t>
            </w:r>
          </w:p>
        </w:tc>
      </w:tr>
      <w:tr>
        <w:tc>
          <w:tcPr>
            <w:tcW w:type="dxa" w:w="10224"/>
            <w:shd w:fill="FFF2CC"/>
            <w:vAlign w:val="center"/>
          </w:tcPr>
          <w:p>
            <w:pPr>
              <w:jc w:val="center"/>
            </w:pPr>
            <w:r>
              <w:rPr>
                <w:b/>
                <w:sz w:val="22"/>
              </w:rPr>
              <w:t>.page  →  100%</w:t>
            </w:r>
          </w:p>
        </w:tc>
      </w:tr>
    </w:tbl>
    <w:p/>
    <w:p>
      <w:pPr>
        <w:spacing w:before="200" w:after="100"/>
      </w:pPr>
      <w:r>
        <w:rPr>
          <w:b/>
          <w:color w:val="1F4E78"/>
          <w:sz w:val="30"/>
        </w:rPr>
        <w:t>For your Lab 8 Part A</w:t>
      </w:r>
    </w:p>
    <w:p>
      <w:pPr>
        <w:spacing w:after="100" w:line="252" w:lineRule="auto"/>
      </w:pPr>
      <w:r>
        <w:rPr>
          <w:sz w:val="21"/>
        </w:rPr>
        <w:t>If the purpose is to practice percentage heights, use html, body { height: 100%; } and then give .page a height of 100%. If the purpose is simply to make the page fill the browser screen, height: 100vh is the simpler choice.</w:t>
      </w:r>
    </w:p>
    <w:tbl>
      <w:tblPr>
        <w:tblW w:type="auto" w:w="0"/>
        <w:tblLook w:firstColumn="1" w:firstRow="1" w:lastColumn="0" w:lastRow="0" w:noHBand="0" w:noVBand="1" w:val="04A0"/>
      </w:tblPr>
      <w:tblGrid>
        <w:gridCol w:w="10224"/>
      </w:tblGrid>
      <w:tr>
        <w:tc>
          <w:tcPr>
            <w:tcW w:type="dxa" w:w="10224"/>
            <w:shd w:fill="F4CCCC"/>
          </w:tcPr>
          <w:p>
            <w:pPr>
              <w:spacing w:after="0"/>
            </w:pPr>
            <w:r>
              <w:rPr>
                <w:b/>
                <w:sz w:val="21"/>
              </w:rPr>
              <w:t>Also remember: changing .page from 300px to 100% does not automatically scale the fixed-height child elements such as 25px, 28px, 190px, and 15px.</w:t>
            </w:r>
          </w:p>
        </w:tc>
      </w:tr>
    </w:tbl>
    <w:p>
      <w:pPr>
        <w:spacing w:after="0"/>
      </w:pPr>
    </w:p>
    <w:p>
      <w:pPr>
        <w:spacing w:before="200" w:after="100"/>
      </w:pPr>
      <w:r>
        <w:rPr>
          <w:b/>
          <w:color w:val="1F4E78"/>
          <w:sz w:val="30"/>
        </w:rPr>
        <w:t>Quick CSS Reference</w:t>
      </w:r>
    </w:p>
    <w:tbl>
      <w:tblPr>
        <w:tblStyle w:val="TableGrid"/>
        <w:tblW w:type="auto" w:w="0"/>
        <w:tblLook w:firstColumn="1" w:firstRow="1" w:lastColumn="0" w:lastRow="0" w:noHBand="0" w:noVBand="1" w:val="04A0"/>
      </w:tblPr>
      <w:tblGrid>
        <w:gridCol w:w="3408"/>
        <w:gridCol w:w="3408"/>
        <w:gridCol w:w="3408"/>
      </w:tblGrid>
      <w:tr>
        <w:tc>
          <w:tcPr>
            <w:tcW w:type="dxa" w:w="3408"/>
            <w:shd w:fill="1F4E78"/>
          </w:tcPr>
          <w:p>
            <w:r>
              <w:rPr>
                <w:b/>
                <w:color w:val="FFFFFF"/>
                <w:sz w:val="20"/>
              </w:rPr>
              <w:t>Property</w:t>
            </w:r>
          </w:p>
        </w:tc>
        <w:tc>
          <w:tcPr>
            <w:tcW w:type="dxa" w:w="3408"/>
            <w:shd w:fill="1F4E78"/>
          </w:tcPr>
          <w:p>
            <w:r>
              <w:rPr>
                <w:b/>
                <w:color w:val="FFFFFF"/>
                <w:sz w:val="20"/>
              </w:rPr>
              <w:t>Purpose</w:t>
            </w:r>
          </w:p>
        </w:tc>
        <w:tc>
          <w:tcPr>
            <w:tcW w:type="dxa" w:w="3408"/>
            <w:shd w:fill="1F4E78"/>
          </w:tcPr>
          <w:p>
            <w:r>
              <w:rPr>
                <w:b/>
                <w:color w:val="FFFFFF"/>
                <w:sz w:val="20"/>
              </w:rPr>
              <w:t>Used in this layout</w:t>
            </w:r>
          </w:p>
        </w:tc>
      </w:tr>
      <w:tr>
        <w:tc>
          <w:tcPr>
            <w:tcW w:type="dxa" w:w="3408"/>
          </w:tcPr>
          <w:p>
            <w:r>
              <w:rPr>
                <w:sz w:val="19"/>
              </w:rPr>
              <w:t>float: left</w:t>
            </w:r>
          </w:p>
        </w:tc>
        <w:tc>
          <w:tcPr>
            <w:tcW w:type="dxa" w:w="3408"/>
          </w:tcPr>
          <w:p>
            <w:r>
              <w:rPr>
                <w:sz w:val="19"/>
              </w:rPr>
              <w:t>Moves an element to the left and lets surrounding content flow around it.</w:t>
            </w:r>
          </w:p>
        </w:tc>
        <w:tc>
          <w:tcPr>
            <w:tcW w:type="dxa" w:w="3408"/>
          </w:tcPr>
          <w:p>
            <w:r>
              <w:rPr>
                <w:sz w:val="19"/>
              </w:rPr>
              <w:t>.entries</w:t>
            </w:r>
          </w:p>
        </w:tc>
      </w:tr>
      <w:tr>
        <w:tc>
          <w:tcPr>
            <w:tcW w:type="dxa" w:w="3408"/>
          </w:tcPr>
          <w:p>
            <w:r>
              <w:rPr>
                <w:sz w:val="19"/>
              </w:rPr>
              <w:t>float: right</w:t>
            </w:r>
          </w:p>
        </w:tc>
        <w:tc>
          <w:tcPr>
            <w:tcW w:type="dxa" w:w="3408"/>
          </w:tcPr>
          <w:p>
            <w:r>
              <w:rPr>
                <w:sz w:val="19"/>
              </w:rPr>
              <w:t>Moves an element to the right and lets surrounding content flow around it.</w:t>
            </w:r>
          </w:p>
        </w:tc>
        <w:tc>
          <w:tcPr>
            <w:tcW w:type="dxa" w:w="3408"/>
          </w:tcPr>
          <w:p>
            <w:r>
              <w:rPr>
                <w:sz w:val="19"/>
              </w:rPr>
              <w:t>.sidebar</w:t>
            </w:r>
          </w:p>
        </w:tc>
      </w:tr>
      <w:tr>
        <w:tc>
          <w:tcPr>
            <w:tcW w:type="dxa" w:w="3408"/>
          </w:tcPr>
          <w:p>
            <w:r>
              <w:rPr>
                <w:sz w:val="19"/>
              </w:rPr>
              <w:t>clear: both</w:t>
            </w:r>
          </w:p>
        </w:tc>
        <w:tc>
          <w:tcPr>
            <w:tcW w:type="dxa" w:w="3408"/>
          </w:tcPr>
          <w:p>
            <w:r>
              <w:rPr>
                <w:sz w:val="19"/>
              </w:rPr>
              <w:t>Stops an element from sitting beside left or right floats.</w:t>
            </w:r>
          </w:p>
        </w:tc>
        <w:tc>
          <w:tcPr>
            <w:tcW w:type="dxa" w:w="3408"/>
          </w:tcPr>
          <w:p>
            <w:r>
              <w:rPr>
                <w:sz w:val="19"/>
              </w:rPr>
              <w:t>.footer</w:t>
            </w:r>
          </w:p>
        </w:tc>
      </w:tr>
      <w:tr>
        <w:tc>
          <w:tcPr>
            <w:tcW w:type="dxa" w:w="3408"/>
          </w:tcPr>
          <w:p>
            <w:r>
              <w:rPr>
                <w:sz w:val="19"/>
              </w:rPr>
              <w:t>height: 100%</w:t>
            </w:r>
          </w:p>
        </w:tc>
        <w:tc>
          <w:tcPr>
            <w:tcW w:type="dxa" w:w="3408"/>
          </w:tcPr>
          <w:p>
            <w:r>
              <w:rPr>
                <w:sz w:val="19"/>
              </w:rPr>
              <w:t>Uses 100% of the parent’s defined height.</w:t>
            </w:r>
          </w:p>
        </w:tc>
        <w:tc>
          <w:tcPr>
            <w:tcW w:type="dxa" w:w="3408"/>
          </w:tcPr>
          <w:p>
            <w:r>
              <w:rPr>
                <w:sz w:val="19"/>
              </w:rPr>
              <w:t>.page</w:t>
            </w:r>
          </w:p>
        </w:tc>
      </w:tr>
      <w:tr>
        <w:tc>
          <w:tcPr>
            <w:tcW w:type="dxa" w:w="3408"/>
          </w:tcPr>
          <w:p>
            <w:r>
              <w:rPr>
                <w:sz w:val="19"/>
              </w:rPr>
              <w:t>height: 100vh</w:t>
            </w:r>
          </w:p>
        </w:tc>
        <w:tc>
          <w:tcPr>
            <w:tcW w:type="dxa" w:w="3408"/>
          </w:tcPr>
          <w:p>
            <w:r>
              <w:rPr>
                <w:sz w:val="19"/>
              </w:rPr>
              <w:t>Uses 100% of the viewport height.</w:t>
            </w:r>
          </w:p>
        </w:tc>
        <w:tc>
          <w:tcPr>
            <w:tcW w:type="dxa" w:w="3408"/>
          </w:tcPr>
          <w:p>
            <w:r>
              <w:rPr>
                <w:sz w:val="19"/>
              </w:rPr>
              <w:t>.page</w:t>
            </w:r>
          </w:p>
        </w:tc>
      </w:tr>
    </w:tbl>
    <w:p/>
    <w:p>
      <w:pPr>
        <w:jc w:val="center"/>
      </w:pPr>
      <w:r>
        <w:rPr>
          <w:b/>
          <w:color w:val="5B9BD5"/>
          <w:sz w:val="20"/>
        </w:rPr>
        <w:t>LAB 8 • PART 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