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i w:val="false"/>
          <w:iCs w:val="false"/>
          <w:color w:val="1A1A1A"/>
          <w:sz w:val="40"/>
          <w:szCs w:val="40"/>
        </w:rPr>
        <w:t xml:space="preserve">Applied AI / ML Engineering</w:t>
      </w:r>
    </w:p>
    <w:p>
      <w:pPr>
        <w:pBdr>
          <w:bottom w:val="single" w:color="2E6CA6" w:sz="12" w:space="6"/>
        </w:pBdr>
        <w:spacing w:after="220"/>
      </w:pPr>
      <w:r>
        <w:rPr>
          <w:b w:val="false"/>
          <w:bCs w:val="false"/>
          <w:i w:val="false"/>
          <w:iCs w:val="false"/>
          <w:color w:val="2E6CA6"/>
          <w:sz w:val="26"/>
          <w:szCs w:val="26"/>
        </w:rPr>
        <w:t xml:space="preserve">Take-Home Assignment — Submission Template</w:t>
      </w:r>
    </w:p>
    <w:p>
      <w:pPr>
        <w:spacing w:after="200" w:before="0"/>
      </w:pPr>
      <w:r>
        <w:rPr>
          <w:b w:val="false"/>
          <w:bCs w:val="false"/>
          <w:i w:val="false"/>
          <w:iCs w:val="false"/>
          <w:color w:val="44505C"/>
          <w:sz w:val="22"/>
          <w:szCs w:val="22"/>
        </w:rPr>
        <w:t xml:space="preserve">Replace every [ bracketed placeholder ] and every dashed box with your own content. Do not delete or rename the section headers — graders read against them. Keep prose tight; we score evidence, not adjectives.</w:t>
      </w:r>
    </w:p>
    <w:p>
      <w:pPr>
        <w:pStyle w:val="Heading3"/>
        <w:spacing w:after="70" w:before="140"/>
        <w:keepNext/>
      </w:pPr>
      <w:r>
        <w:rPr>
          <w:b/>
          <w:bCs/>
          <w:i w:val="false"/>
          <w:iCs w:val="false"/>
          <w:color w:val="1A1A1A"/>
          <w:sz w:val="22"/>
          <w:szCs w:val="22"/>
        </w:rPr>
        <w:t xml:space="preserve">Candidate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W w:type="dxa" w:w="2900"/>
            <w:tcBorders>
              <w:top w:val="single" w:color="C2CEDB" w:sz="4"/>
              <w:left w:val="single" w:color="C2CEDB" w:sz="4"/>
              <w:bottom w:val="single" w:color="C2CEDB" w:sz="4"/>
              <w:right w:val="single" w:color="C2CEDB" w:sz="4"/>
            </w:tcBorders>
            <w:shd w:fill="D5E2EE" w:val="clear"/>
            <w:tcMar>
              <w:top w:type="dxa" w:w="80"/>
              <w:left w:type="dxa" w:w="120"/>
              <w:bottom w:type="dxa" w:w="80"/>
              <w:right w:type="dxa" w:w="120"/>
            </w:tcMar>
          </w:tcPr>
          <w:p>
            <w:r>
              <w:rPr>
                <w:b/>
                <w:bCs/>
                <w:i w:val="false"/>
                <w:iCs w:val="false"/>
                <w:color w:val="1A1A1A"/>
                <w:sz w:val="20"/>
                <w:szCs w:val="20"/>
              </w:rPr>
              <w:t xml:space="preserve">Field</w:t>
            </w:r>
          </w:p>
        </w:tc>
        <w:tc>
          <w:tcPr>
            <w:tcW w:type="dxa" w:w="6460"/>
            <w:tcBorders>
              <w:top w:val="single" w:color="C2CEDB" w:sz="4"/>
              <w:left w:val="single" w:color="C2CEDB" w:sz="4"/>
              <w:bottom w:val="single" w:color="C2CEDB" w:sz="4"/>
              <w:right w:val="single" w:color="C2CEDB" w:sz="4"/>
            </w:tcBorders>
            <w:shd w:fill="D5E2EE" w:val="clear"/>
            <w:tcMar>
              <w:top w:type="dxa" w:w="80"/>
              <w:left w:type="dxa" w:w="120"/>
              <w:bottom w:type="dxa" w:w="80"/>
              <w:right w:type="dxa" w:w="120"/>
            </w:tcMar>
          </w:tcPr>
          <w:p>
            <w:r>
              <w:rPr>
                <w:b/>
                <w:bCs/>
                <w:i w:val="false"/>
                <w:iCs w:val="false"/>
                <w:color w:val="1A1A1A"/>
                <w:sz w:val="20"/>
                <w:szCs w:val="20"/>
              </w:rPr>
              <w:t xml:space="preserve">Your entry</w:t>
            </w:r>
          </w:p>
        </w:tc>
      </w:tr>
      <w:tr>
        <w:tc>
          <w:tcPr>
            <w:tcW w:type="dxa" w:w="290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val="false"/>
                <w:iCs w:val="false"/>
                <w:color w:val="1A1A1A"/>
                <w:sz w:val="20"/>
                <w:szCs w:val="20"/>
              </w:rPr>
              <w:t xml:space="preserve">Full name</w:t>
            </w:r>
          </w:p>
        </w:tc>
        <w:tc>
          <w:tcPr>
            <w:tcW w:type="dxa" w:w="6460"/>
            <w:tcBorders>
              <w:top w:val="single" w:color="C2CEDB" w:sz="4"/>
              <w:left w:val="single" w:color="C2CEDB" w:sz="4"/>
              <w:bottom w:val="single" w:color="C2CEDB" w:sz="4"/>
              <w:right w:val="single" w:color="C2CEDB" w:sz="4"/>
            </w:tcBorders>
            <w:tcMar>
              <w:top w:type="dxa" w:w="80"/>
              <w:left w:type="dxa" w:w="120"/>
              <w:bottom w:type="dxa" w:w="80"/>
              <w:right w:type="dxa" w:w="120"/>
            </w:tcMar>
          </w:tcPr>
          <w:p>
            <w:pPr>
              <w:spacing w:after="40"/>
            </w:pPr>
            <w:r>
              <w:rPr>
                <w:rFonts w:ascii="Aptos" w:hAnsi="Aptos"/>
                <w:b w:val="0"/>
                <w:sz w:val="17"/>
              </w:rPr>
              <w:t>Pala Adarsh</w:t>
            </w:r>
          </w:p>
        </w:tc>
      </w:tr>
      <w:tr>
        <w:tc>
          <w:tcPr>
            <w:tcW w:type="dxa" w:w="290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val="false"/>
                <w:iCs w:val="false"/>
                <w:color w:val="1A1A1A"/>
                <w:sz w:val="20"/>
                <w:szCs w:val="20"/>
              </w:rPr>
              <w:t xml:space="preserve">Email</w:t>
            </w:r>
          </w:p>
        </w:tc>
        <w:tc>
          <w:tcPr>
            <w:tcW w:type="dxa" w:w="6460"/>
            <w:tcBorders>
              <w:top w:val="single" w:color="C2CEDB" w:sz="4"/>
              <w:left w:val="single" w:color="C2CEDB" w:sz="4"/>
              <w:bottom w:val="single" w:color="C2CEDB" w:sz="4"/>
              <w:right w:val="single" w:color="C2CEDB" w:sz="4"/>
            </w:tcBorders>
            <w:tcMar>
              <w:top w:type="dxa" w:w="80"/>
              <w:left w:type="dxa" w:w="120"/>
              <w:bottom w:type="dxa" w:w="80"/>
              <w:right w:type="dxa" w:w="120"/>
            </w:tcMar>
          </w:tcPr>
          <w:p>
            <w:pPr>
              <w:spacing w:after="40"/>
            </w:pPr>
            <w:r>
              <w:rPr>
                <w:rFonts w:ascii="Aptos" w:hAnsi="Aptos"/>
                <w:b w:val="0"/>
                <w:sz w:val="17"/>
              </w:rPr>
              <w:t>adarsh1@iisc.ac.in</w:t>
            </w:r>
          </w:p>
        </w:tc>
      </w:tr>
      <w:tr>
        <w:tc>
          <w:tcPr>
            <w:tcW w:type="dxa" w:w="290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val="false"/>
                <w:iCs w:val="false"/>
                <w:color w:val="1A1A1A"/>
                <w:sz w:val="20"/>
                <w:szCs w:val="20"/>
              </w:rPr>
              <w:t xml:space="preserve">Date submitted</w:t>
            </w:r>
          </w:p>
        </w:tc>
        <w:tc>
          <w:tcPr>
            <w:tcW w:type="dxa" w:w="6460"/>
            <w:tcBorders>
              <w:top w:val="single" w:color="C2CEDB" w:sz="4"/>
              <w:left w:val="single" w:color="C2CEDB" w:sz="4"/>
              <w:bottom w:val="single" w:color="C2CEDB" w:sz="4"/>
              <w:right w:val="single" w:color="C2CEDB" w:sz="4"/>
            </w:tcBorders>
            <w:tcMar>
              <w:top w:type="dxa" w:w="80"/>
              <w:left w:type="dxa" w:w="120"/>
              <w:bottom w:type="dxa" w:w="80"/>
              <w:right w:type="dxa" w:w="120"/>
            </w:tcMar>
          </w:tcPr>
          <w:p>
            <w:pPr>
              <w:spacing w:after="40"/>
            </w:pPr>
            <w:r>
              <w:rPr>
                <w:rFonts w:ascii="Aptos" w:hAnsi="Aptos"/>
                <w:b w:val="0"/>
                <w:sz w:val="17"/>
              </w:rPr>
              <w:t>18 October 2026</w:t>
            </w:r>
          </w:p>
        </w:tc>
      </w:tr>
      <w:tr>
        <w:tc>
          <w:tcPr>
            <w:tcW w:type="dxa" w:w="290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val="false"/>
                <w:iCs w:val="false"/>
                <w:color w:val="1A1A1A"/>
                <w:sz w:val="20"/>
                <w:szCs w:val="20"/>
              </w:rPr>
              <w:t xml:space="preserve">Repository link</w:t>
            </w:r>
          </w:p>
        </w:tc>
        <w:tc>
          <w:tcPr>
            <w:tcW w:type="dxa" w:w="6460"/>
            <w:tcBorders>
              <w:top w:val="single" w:color="C2CEDB" w:sz="4"/>
              <w:left w:val="single" w:color="C2CEDB" w:sz="4"/>
              <w:bottom w:val="single" w:color="C2CEDB" w:sz="4"/>
              <w:right w:val="single" w:color="C2CEDB" w:sz="4"/>
            </w:tcBorders>
            <w:tcMar>
              <w:top w:type="dxa" w:w="80"/>
              <w:left w:type="dxa" w:w="120"/>
              <w:bottom w:type="dxa" w:w="80"/>
              <w:right w:type="dxa" w:w="120"/>
            </w:tcMar>
          </w:tcPr>
          <w:p>
            <w:pPr>
              <w:spacing w:after="40"/>
            </w:pPr>
            <w:r>
              <w:rPr>
                <w:rFonts w:ascii="Aptos" w:hAnsi="Aptos"/>
                <w:b w:val="0"/>
                <w:sz w:val="17"/>
              </w:rPr>
              <w:t>https://github.com/palaadarsh31/cost-efficient-rag</w:t>
            </w:r>
          </w:p>
        </w:tc>
      </w:tr>
      <w:tr>
        <w:tc>
          <w:tcPr>
            <w:tcW w:type="dxa" w:w="290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val="false"/>
                <w:iCs w:val="false"/>
                <w:color w:val="1A1A1A"/>
                <w:sz w:val="20"/>
                <w:szCs w:val="20"/>
              </w:rPr>
              <w:t xml:space="preserve">Total time spent</w:t>
            </w:r>
          </w:p>
        </w:tc>
        <w:tc>
          <w:tcPr>
            <w:tcW w:type="dxa" w:w="6460"/>
            <w:tcBorders>
              <w:top w:val="single" w:color="C2CEDB" w:sz="4"/>
              <w:left w:val="single" w:color="C2CEDB" w:sz="4"/>
              <w:bottom w:val="single" w:color="C2CEDB" w:sz="4"/>
              <w:right w:val="single" w:color="C2CEDB" w:sz="4"/>
            </w:tcBorders>
            <w:tcMar>
              <w:top w:type="dxa" w:w="80"/>
              <w:left w:type="dxa" w:w="120"/>
              <w:bottom w:type="dxa" w:w="80"/>
              <w:right w:type="dxa" w:w="120"/>
            </w:tcMar>
          </w:tcPr>
          <w:p>
            <w:pPr>
              <w:spacing w:after="100" w:line="240" w:lineRule="auto"/>
              <w:keepLines/>
            </w:pPr>
            <w:r>
              <w:rPr>
                <w:rFonts w:ascii="Aptos" w:hAnsi="Aptos"/>
                <w:sz w:val="22"/>
                <w:color w:val="000000"/>
              </w:rPr>
              <w:t xml:space="preserve">6 hours</w:t>
            </w:r>
          </w:p>
        </w:tc>
      </w:tr>
      <w:tr>
        <w:tc>
          <w:tcPr>
            <w:tcW w:type="dxa" w:w="290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val="false"/>
                <w:iCs w:val="false"/>
                <w:color w:val="1A1A1A"/>
                <w:sz w:val="20"/>
                <w:szCs w:val="20"/>
              </w:rPr>
              <w:t xml:space="preserve">Problem 1 — vector store chosen</w:t>
            </w:r>
          </w:p>
        </w:tc>
        <w:tc>
          <w:tcPr>
            <w:tcW w:type="dxa" w:w="6460"/>
            <w:tcBorders>
              <w:top w:val="single" w:color="C2CEDB" w:sz="4"/>
              <w:left w:val="single" w:color="C2CEDB" w:sz="4"/>
              <w:bottom w:val="single" w:color="C2CEDB" w:sz="4"/>
              <w:right w:val="single" w:color="C2CEDB" w:sz="4"/>
            </w:tcBorders>
            <w:tcMar>
              <w:top w:type="dxa" w:w="80"/>
              <w:left w:type="dxa" w:w="120"/>
              <w:bottom w:type="dxa" w:w="80"/>
              <w:right w:type="dxa" w:w="120"/>
            </w:tcMar>
          </w:tcPr>
          <w:p>
            <w:pPr>
              <w:spacing w:after="40"/>
            </w:pPr>
            <w:r>
              <w:rPr>
                <w:rFonts w:ascii="Aptos" w:hAnsi="Aptos"/>
                <w:b w:val="0"/>
                <w:sz w:val="17"/>
              </w:rPr>
              <w:t>sqlite-vec</w:t>
            </w:r>
          </w:p>
        </w:tc>
      </w:tr>
      <w:tr>
        <w:tc>
          <w:tcPr>
            <w:tcW w:type="dxa" w:w="290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val="false"/>
                <w:iCs w:val="false"/>
                <w:color w:val="1A1A1A"/>
                <w:sz w:val="20"/>
                <w:szCs w:val="20"/>
              </w:rPr>
              <w:t xml:space="preserve">Problem 2 — judge model / generator model</w:t>
            </w:r>
          </w:p>
        </w:tc>
        <w:tc>
          <w:tcPr>
            <w:tcW w:type="dxa" w:w="6460"/>
            <w:tcBorders>
              <w:top w:val="single" w:color="C2CEDB" w:sz="4"/>
              <w:left w:val="single" w:color="C2CEDB" w:sz="4"/>
              <w:bottom w:val="single" w:color="C2CEDB" w:sz="4"/>
              <w:right w:val="single" w:color="C2CEDB" w:sz="4"/>
            </w:tcBorders>
            <w:tcMar>
              <w:top w:type="dxa" w:w="80"/>
              <w:left w:type="dxa" w:w="120"/>
              <w:bottom w:type="dxa" w:w="80"/>
              <w:right w:type="dxa" w:w="120"/>
            </w:tcMar>
          </w:tcPr>
          <w:p>
            <w:pPr>
              <w:spacing w:after="40"/>
            </w:pPr>
            <w:r>
              <w:rPr>
                <w:rFonts w:ascii="Aptos" w:hAnsi="Aptos"/>
                <w:b w:val="0"/>
                <w:sz w:val="17"/>
              </w:rPr>
              <w:t>Judge: Anthropic Claude Sonnet 5.5 · generator: reference-written fixtures (family not attributable)</w:t>
            </w:r>
          </w:p>
        </w:tc>
      </w:tr>
    </w:tbl>
    <w:p>
      <w:pPr>
        <w:spacing w:after="80"/>
      </w:pPr>
      <w:r>
        <w:rPr>
          <w:b w:val="false"/>
          <w:bCs w:val="false"/>
          <w:i w:val="false"/>
          <w:iCs w:val="false"/>
          <w:color w:val="1A1A1A"/>
          <w:sz w:val="22"/>
          <w:szCs w:val="22"/>
        </w:rPr>
        <w:t xml:space="preserve"/>
      </w:r>
    </w:p>
    <w:p>
      <w:pPr>
        <w:pStyle w:val="Heading3"/>
        <w:spacing w:after="70" w:before="140"/>
        <w:keepNext/>
      </w:pPr>
      <w:r>
        <w:rPr>
          <w:b/>
          <w:bCs/>
          <w:i w:val="false"/>
          <w:iCs w:val="false"/>
          <w:color w:val="1A1A1A"/>
          <w:sz w:val="22"/>
          <w:szCs w:val="22"/>
        </w:rPr>
        <w:t xml:space="preserve">How to use this template</w:t>
      </w:r>
    </w:p>
    <w:p>
      <w:pPr>
        <w:pStyle w:val="ListParagraph"/>
        <w:numPr>
          <w:ilvl w:val="0"/>
          <w:numId w:val="2"/>
        </w:numPr>
        <w:spacing w:after="60"/>
        <w:keepNext/>
      </w:pPr>
      <w:r>
        <w:rPr>
          <w:b w:val="false"/>
          <w:bCs w:val="false"/>
          <w:i w:val="false"/>
          <w:iCs w:val="false"/>
          <w:color w:val="1A1A1A"/>
          <w:sz w:val="22"/>
          <w:szCs w:val="22"/>
        </w:rPr>
        <w:t xml:space="preserve">Each problem has five parts: architecture, setup, evaluation results, design decisions, and a subtask-evidence/reflection section.</w:t>
      </w:r>
    </w:p>
    <w:p>
      <w:pPr>
        <w:pStyle w:val="ListParagraph"/>
        <w:numPr>
          <w:ilvl w:val="0"/>
          <w:numId w:val="2"/>
        </w:numPr>
        <w:spacing w:after="60"/>
      </w:pPr>
      <w:r>
        <w:rPr>
          <w:b w:val="false"/>
          <w:bCs w:val="false"/>
          <w:i w:val="false"/>
          <w:iCs w:val="false"/>
          <w:color w:val="1A1A1A"/>
          <w:sz w:val="22"/>
          <w:szCs w:val="22"/>
        </w:rPr>
        <w:t xml:space="preserve">All numbers must be reproducible from your repo. State every assumption inline; an unexplained number scores zero.</w:t>
      </w:r>
    </w:p>
    <w:p>
      <w:pPr>
        <w:pStyle w:val="ListParagraph"/>
        <w:numPr>
          <w:ilvl w:val="0"/>
          <w:numId w:val="2"/>
        </w:numPr>
        <w:spacing w:after="60"/>
      </w:pPr>
      <w:r>
        <w:rPr>
          <w:b w:val="false"/>
          <w:bCs w:val="false"/>
          <w:i w:val="false"/>
          <w:iCs w:val="false"/>
          <w:color w:val="1A1A1A"/>
          <w:sz w:val="22"/>
          <w:szCs w:val="22"/>
        </w:rPr>
        <w:t xml:space="preserve">Use “N/A” only with a one-line reason. Diagrams and screenshots can be pasted directly into the dashed boxes.</w:t>
      </w:r>
    </w:p>
    <w:p>
      <w:pPr>
        <w:pStyle w:val="ListParagraph"/>
        <w:numPr>
          <w:ilvl w:val="0"/>
          <w:numId w:val="2"/>
        </w:numPr>
        <w:spacing w:after="60"/>
      </w:pPr>
      <w:r>
        <w:rPr>
          <w:b w:val="false"/>
          <w:bCs w:val="false"/>
          <w:i w:val="false"/>
          <w:iCs w:val="false"/>
          <w:color w:val="1A1A1A"/>
          <w:sz w:val="22"/>
          <w:szCs w:val="22"/>
        </w:rPr>
        <w:t xml:space="preserve">The reflection sections must be written in your own words, without AI assistance — that is the point of them.</w:t>
      </w:r>
    </w:p>
    <w:p>
      <w:pPr>
        <w:pageBreakBefore/>
      </w:pPr>
      <w:r>
        <w:rPr>
          <w:b w:val="false"/>
          <w:bCs w:val="false"/>
          <w:i w:val="false"/>
          <w:iCs w:val="false"/>
          <w:color w:val="1A1A1A"/>
          <w:sz w:val="22"/>
          <w:szCs w:val="22"/>
        </w:rPr>
        <w:t xml:space="preserve"/>
      </w:r>
    </w:p>
    <w:p>
      <w:pPr>
        <w:pStyle w:val="Heading1"/>
        <w:pBdr>
          <w:bottom w:val="single" w:color="2E6CA6" w:sz="8" w:space="4"/>
        </w:pBdr>
        <w:spacing w:after="160" w:before="240"/>
        <w:keepNext/>
      </w:pPr>
      <w:r>
        <w:rPr>
          <w:b/>
          <w:bCs/>
          <w:i w:val="false"/>
          <w:iCs w:val="false"/>
          <w:color w:val="1A1A1A"/>
          <w:sz w:val="30"/>
          <w:szCs w:val="30"/>
        </w:rPr>
        <w:t xml:space="preserve">Problem 1 — Cost-Efficient RAG Application</w:t>
      </w:r>
    </w:p>
    <w:p>
      <w:pPr>
        <w:spacing w:after="140"/>
        <w:keepNext/>
      </w:pPr>
      <w:r>
        <w:rPr>
          <w:b w:val="false"/>
          <w:bCs w:val="false"/>
          <w:i/>
          <w:iCs/>
          <w:color w:val="7A7A7A"/>
          <w:sz w:val="21"/>
          <w:szCs w:val="21"/>
        </w:rPr>
        <w:t xml:space="preserve">A QA service over a document corpus on a low-cost vector store, with honest evaluation of retrieval quality, answer quality, latency, and cost.</w:t>
      </w:r>
    </w:p>
    <w:p>
      <w:pPr>
        <w:pStyle w:val="Heading2"/>
        <w:spacing w:after="100" w:before="220"/>
        <w:keepNext/>
      </w:pPr>
      <w:r>
        <w:rPr>
          <w:b/>
          <w:bCs/>
          <w:i w:val="false"/>
          <w:iCs w:val="false"/>
          <w:color w:val="2E6CA6"/>
          <w:sz w:val="25"/>
          <w:szCs w:val="25"/>
        </w:rPr>
        <w:t xml:space="preserve">1.1  Architecture Diagram / Flowchart</w:t>
      </w:r>
    </w:p>
    <w:p>
      <w:pPr>
        <w:spacing w:after="140"/>
        <w:keepNext/>
      </w:pPr>
      <w:r>
        <w:rPr>
          <w:b w:val="false"/>
          <w:bCs w:val="false"/>
          <w:i/>
          <w:iCs/>
          <w:color w:val="7A7A7A"/>
          <w:sz w:val="21"/>
          <w:szCs w:val="21"/>
        </w:rPr>
        <w:t xml:space="preserve">Paste your own diagram. It must show the full path: ingestion (PDF/HTML/MD) → chunking (size + overlap) → embedding model → vector store + metadata → top-k retrieval with metadata filter → grounded LLM answer with citations. Mark where the “no relevant context” branch goes.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A9BDD3" w:sz="6"/>
              <w:left w:val="dashed" w:color="A9BDD3" w:sz="6"/>
              <w:bottom w:val="dashed" w:color="A9BDD3" w:sz="6"/>
              <w:right w:val="dashed" w:color="A9BDD3" w:sz="6"/>
            </w:tcBorders>
            <w:shd w:fill="F4F7FB" w:val="clear"/>
            <w:tcMar>
              <w:top w:type="dxa" w:w="140"/>
              <w:left w:type="dxa" w:w="160"/>
              <w:bottom w:type="dxa" w:w="140"/>
              <w:right w:type="dxa" w:w="160"/>
            </w:tcMar>
          </w:tcPr>
          <w:p>
            <w:pPr>
              <w:jc w:val="center"/>
            </w:pPr>
            <w:r/>
            <w:r>
              <w:drawing>
                <wp:inline xmlns:a="http://schemas.openxmlformats.org/drawingml/2006/main" xmlns:pic="http://schemas.openxmlformats.org/drawingml/2006/picture">
                  <wp:extent cx="4892040" cy="5763396"/>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4892040" cy="5763396"/>
                          </a:xfrm>
                          <a:prstGeom prst="rect"/>
                        </pic:spPr>
                      </pic:pic>
                    </a:graphicData>
                  </a:graphic>
                </wp:inline>
              </w:drawing>
            </w:r>
          </w:p>
          <w:p>
            <w:pPr>
              <w:spacing w:after="40"/>
              <w:jc w:val="center"/>
            </w:pPr>
            <w:r>
              <w:rPr>
                <w:rFonts w:ascii="Aptos" w:hAnsi="Aptos"/>
                <w:b w:val="0"/>
                <w:color w:val="475569"/>
                <w:sz w:val="16"/>
              </w:rPr>
              <w:t>Measured implementation flow, including metadata filters, citation checks and no-context abstention.</w:t>
            </w:r>
          </w:p>
        </w:tc>
      </w:tr>
    </w:tbl>
    <w:p>
      <w:pPr>
        <w:spacing w:after="80"/>
      </w:pPr>
      <w:r>
        <w:rPr>
          <w:b w:val="false"/>
          <w:bCs w:val="false"/>
          <w:i w:val="false"/>
          <w:iCs w:val="false"/>
          <w:color w:val="1A1A1A"/>
          <w:sz w:val="22"/>
          <w:szCs w:val="22"/>
        </w:rPr>
        <w:t xml:space="preserve"/>
      </w:r>
    </w:p>
    <w:p>
      <w:pPr>
        <w:pStyle w:val="Heading2"/>
        <w:spacing w:after="100" w:before="220"/>
        <w:keepNext/>
      </w:pPr>
      <w:r>
        <w:rPr>
          <w:b/>
          <w:bCs/>
          <w:i w:val="false"/>
          <w:iCs w:val="false"/>
          <w:color w:val="2E6CA6"/>
          <w:sz w:val="25"/>
          <w:szCs w:val="25"/>
        </w:rPr>
        <w:t xml:space="preserve">1.2  Setup &amp; Run Instructions</w:t>
      </w:r>
    </w:p>
    <w:p>
      <w:pPr>
        <w:spacing w:after="140"/>
        <w:keepNext/>
      </w:pPr>
      <w:r>
        <w:rPr>
          <w:b w:val="false"/>
          <w:bCs w:val="false"/>
          <w:i/>
          <w:iCs/>
          <w:color w:val="7A7A7A"/>
          <w:sz w:val="21"/>
          <w:szCs w:val="21"/>
        </w:rPr>
        <w:t xml:space="preserve">Anyone on our team should clone and run this in under ~10 minutes. Give exact, copy-pasteable commands.</w:t>
      </w:r>
    </w:p>
    <w:p>
      <w:pPr>
        <w:spacing w:after="40"/>
      </w:pPr>
      <w:r>
        <w:rPr>
          <w:rFonts w:ascii="Aptos" w:hAnsi="Aptos"/>
          <w:b w:val="0"/>
          <w:sz w:val="19"/>
        </w:rPr>
        <w:t>Prerequisites  Python 3.10–3.13; Windows/Linux/macOS; CPU-only; ~300 MB for packages/model cache; no database server.</w:t>
      </w:r>
    </w:p>
    <w:p>
      <w:pPr>
        <w:spacing w:after="40"/>
      </w:pPr>
      <w:r>
        <w:rPr>
          <w:rFonts w:ascii="Aptos" w:hAnsi="Aptos"/>
          <w:b w:val="0"/>
          <w:sz w:val="17"/>
        </w:rPr>
        <w:t>Environment variables  RAG_DB_PATH, CHUNK_SIZE, CHUNK_OVERLAP, EMBED_BACKEND, EMBED_MODEL, EMBED_QUERY_PREFIX, EMBED_BASE_URL, EMBED_API_KEY, TOP_K, RETRIEVAL_MODE, MIN_SCORE, LLM_BASE_URL, LLM_MODEL, LLM_API_KEY, LLM_TEMPERATURE, LLM_MAX_TOKENS, LLM_TIMEOUT, LLM_EXTRA_BODY, JUDGE_BASE_URL, JUDGE_MODEL, JUDGE_API_KEY, QUERY_LOG_PATH. No secret values are committed.</w:t>
      </w:r>
    </w:p>
    <w:p>
      <w:pPr>
        <w:spacing w:after="40" w:before="0"/>
      </w:pPr>
      <w:r>
        <w:rPr>
          <w:b/>
          <w:bCs/>
          <w:i w:val="false"/>
          <w:iCs w:val="false"/>
          <w:color w:val="1A1A1A"/>
          <w:sz w:val="22"/>
          <w:szCs w:val="22"/>
        </w:rPr>
        <w:t xml:space="preserve">Install: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A9BDD3" w:sz="6"/>
              <w:left w:val="dashed" w:color="A9BDD3" w:sz="6"/>
              <w:bottom w:val="dashed" w:color="A9BDD3" w:sz="6"/>
              <w:right w:val="dashed" w:color="A9BDD3" w:sz="6"/>
            </w:tcBorders>
            <w:shd w:fill="F4F6F8" w:val="clear"/>
            <w:tcMar>
              <w:top w:type="dxa" w:w="120"/>
              <w:left w:type="dxa" w:w="160"/>
              <w:bottom w:type="dxa" w:w="120"/>
              <w:right w:type="dxa" w:w="160"/>
            </w:tcMar>
          </w:tcPr>
          <w:p>
            <w:pPr>
              <w:spacing w:after="40"/>
            </w:pPr>
            <w:r>
              <w:rPr>
                <w:rFonts w:ascii="Consolas" w:hAnsi="Consolas"/>
                <w:b w:val="0"/>
                <w:sz w:val="16"/>
              </w:rPr>
              <w:t>git clone https://github.com/palaadarsh31/cost-efficient-rag.git</w:t>
              <w:br/>
              <w:t>cd cost-efficient-rag</w:t>
              <w:br/>
              <w:t>python -m venv .venv</w:t>
              <w:br/>
              <w:t>.venv\Scripts\activate   # Windows</w:t>
              <w:br/>
              <w:t>pip install -r requirements-dev.txt</w:t>
              <w:br/>
              <w:t>copy .env.example .env       # add secrets locally only</w:t>
            </w:r>
          </w:p>
        </w:tc>
      </w:tr>
    </w:tbl>
    <w:p>
      <w:pPr>
        <w:spacing w:after="80"/>
      </w:pPr>
      <w:r>
        <w:rPr>
          <w:b w:val="false"/>
          <w:bCs w:val="false"/>
          <w:i w:val="false"/>
          <w:iCs w:val="false"/>
          <w:color w:val="1A1A1A"/>
          <w:sz w:val="22"/>
          <w:szCs w:val="22"/>
        </w:rPr>
        <w:t xml:space="preserve"/>
      </w:r>
    </w:p>
    <w:p>
      <w:pPr>
        <w:spacing w:after="40" w:before="0"/>
      </w:pPr>
      <w:r>
        <w:rPr>
          <w:b/>
          <w:bCs/>
          <w:i w:val="false"/>
          <w:iCs w:val="false"/>
          <w:color w:val="1A1A1A"/>
          <w:sz w:val="22"/>
          <w:szCs w:val="22"/>
        </w:rPr>
        <w:t xml:space="preserve">Ingest a corpus: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A9BDD3" w:sz="6"/>
              <w:left w:val="dashed" w:color="A9BDD3" w:sz="6"/>
              <w:bottom w:val="dashed" w:color="A9BDD3" w:sz="6"/>
              <w:right w:val="dashed" w:color="A9BDD3" w:sz="6"/>
            </w:tcBorders>
            <w:shd w:fill="F4F6F8" w:val="clear"/>
            <w:tcMar>
              <w:top w:type="dxa" w:w="120"/>
              <w:left w:type="dxa" w:w="160"/>
              <w:bottom w:type="dxa" w:w="120"/>
              <w:right w:type="dxa" w:w="160"/>
            </w:tcMar>
          </w:tcPr>
          <w:p>
            <w:pPr>
              <w:spacing w:after="40"/>
            </w:pPr>
            <w:r>
              <w:rPr>
                <w:rFonts w:ascii="Consolas" w:hAnsi="Consolas"/>
                <w:b w:val="0"/>
                <w:sz w:val="16"/>
              </w:rPr>
              <w:t>python -m docqa ingest data/corpus</w:t>
              <w:br/>
              <w:t># Defaults: CHUNK_SIZE=350 tokens; CHUNK_OVERLAP=50 tokens.</w:t>
              <w:br/>
              <w:t># Repeat the command to verify idempotence.</w:t>
            </w:r>
          </w:p>
        </w:tc>
      </w:tr>
    </w:tbl>
    <w:p>
      <w:pPr>
        <w:spacing w:after="80"/>
      </w:pPr>
      <w:r>
        <w:rPr>
          <w:b w:val="false"/>
          <w:bCs w:val="false"/>
          <w:i w:val="false"/>
          <w:iCs w:val="false"/>
          <w:color w:val="1A1A1A"/>
          <w:sz w:val="22"/>
          <w:szCs w:val="22"/>
        </w:rPr>
        <w:t xml:space="preserve"/>
      </w:r>
    </w:p>
    <w:p>
      <w:pPr>
        <w:spacing w:after="40" w:before="0"/>
      </w:pPr>
      <w:r>
        <w:rPr>
          <w:b/>
          <w:bCs/>
          <w:i w:val="false"/>
          <w:iCs w:val="false"/>
          <w:color w:val="1A1A1A"/>
          <w:sz w:val="22"/>
          <w:szCs w:val="22"/>
        </w:rPr>
        <w:t xml:space="preserve">Run a query (HTTP endpoint or CLI):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A9BDD3" w:sz="6"/>
              <w:left w:val="dashed" w:color="A9BDD3" w:sz="6"/>
              <w:bottom w:val="dashed" w:color="A9BDD3" w:sz="6"/>
              <w:right w:val="dashed" w:color="A9BDD3" w:sz="6"/>
            </w:tcBorders>
            <w:shd w:fill="F4F6F8" w:val="clear"/>
            <w:tcMar>
              <w:top w:type="dxa" w:w="120"/>
              <w:left w:type="dxa" w:w="160"/>
              <w:bottom w:type="dxa" w:w="120"/>
              <w:right w:type="dxa" w:w="160"/>
            </w:tcMar>
          </w:tcPr>
          <w:p>
            <w:pPr>
              <w:spacing w:after="40"/>
            </w:pPr>
            <w:r>
              <w:rPr>
                <w:rFonts w:ascii="Consolas" w:hAnsi="Consolas"/>
                <w:b w:val="0"/>
                <w:sz w:val="16"/>
              </w:rPr>
              <w:t>python -m docqa query "What is the maximum time to respond to a code review request?"</w:t>
              <w:br/>
              <w:t># HTTP alternative:</w:t>
              <w:br/>
              <w:t>python -m docqa serve --port 8000</w:t>
            </w:r>
          </w:p>
        </w:tc>
      </w:tr>
    </w:tbl>
    <w:p>
      <w:pPr>
        <w:spacing w:after="80"/>
      </w:pPr>
      <w:r>
        <w:rPr>
          <w:b w:val="false"/>
          <w:bCs w:val="false"/>
          <w:i w:val="false"/>
          <w:iCs w:val="false"/>
          <w:color w:val="1A1A1A"/>
          <w:sz w:val="22"/>
          <w:szCs w:val="22"/>
        </w:rPr>
        <w:t xml:space="preserve"/>
      </w:r>
    </w:p>
    <w:p>
      <w:pPr>
        <w:spacing w:after="40"/>
      </w:pPr>
      <w:r>
        <w:rPr>
          <w:rFonts w:ascii="Aptos" w:hAnsi="Aptos"/>
          <w:b w:val="0"/>
          <w:sz w:val="19"/>
        </w:rPr>
        <w:t>Vector store chosen + one-line why  sqlite-vec keeps chunks, 384-d vectors, metadata and FTS5 in one transactional SQLite file, with no separate service to provision.</w:t>
      </w:r>
    </w:p>
    <w:p>
      <w:pPr>
        <w:spacing w:after="80"/>
      </w:pPr>
      <w:r>
        <w:rPr>
          <w:b w:val="false"/>
          <w:bCs w:val="false"/>
          <w:i w:val="false"/>
          <w:iCs w:val="false"/>
          <w:color w:val="1A1A1A"/>
          <w:sz w:val="22"/>
          <w:szCs w:val="22"/>
        </w:rPr>
        <w:t xml:space="preserve"/>
      </w:r>
    </w:p>
    <w:p>
      <w:pPr>
        <w:pStyle w:val="Heading2"/>
        <w:spacing w:after="100" w:before="220"/>
        <w:keepNext/>
      </w:pPr>
      <w:r>
        <w:rPr>
          <w:b/>
          <w:bCs/>
          <w:i w:val="false"/>
          <w:iCs w:val="false"/>
          <w:color w:val="2E6CA6"/>
          <w:sz w:val="25"/>
          <w:szCs w:val="25"/>
        </w:rPr>
        <w:t xml:space="preserve">1.3  Evaluation Results</w:t>
      </w:r>
    </w:p>
    <w:p>
      <w:pPr>
        <w:spacing w:after="40"/>
        <w:keepNext/>
      </w:pPr>
      <w:r>
        <w:rPr>
          <w:rFonts w:ascii="Aptos" w:hAnsi="Aptos"/>
          <w:b w:val="0"/>
          <w:sz w:val="18"/>
        </w:rPr>
        <w:t>Retrieval numbers below were reproduced with the reviewed code on the fixed 30-question set. Answer quality explicitly distinguishes the new frozen-answer faithfulness replay from unchanged historical metrics.</w:t>
      </w:r>
    </w:p>
    <w:p>
      <w:pPr>
        <w:pStyle w:val="Heading3"/>
        <w:spacing w:after="70" w:before="140"/>
        <w:keepNext/>
      </w:pPr>
      <w:r>
        <w:rPr>
          <w:b/>
          <w:bCs/>
          <w:i w:val="false"/>
          <w:iCs w:val="false"/>
          <w:color w:val="1A1A1A"/>
          <w:sz w:val="22"/>
          <w:szCs w:val="22"/>
        </w:rPr>
        <w:t xml:space="preserve">1.3.1  Retrieval metrics</w:t>
      </w:r>
    </w:p>
    <w:p>
      <w:pPr>
        <w:spacing w:after="40"/>
        <w:keepNext/>
      </w:pPr>
      <w:r>
        <w:rPr>
          <w:rFonts w:ascii="Aptos" w:hAnsi="Aptos"/>
          <w:b w:val="0"/>
          <w:sz w:val="19"/>
        </w:rPr>
        <w:t>k used  k = 5 (default hybrid retrieval).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4000"/>
      </w:tblGrid>
      <w:tr>
        <w:tc>
          <w:tcPr>
            <w:tcW w:type="dxa" w:w="3360"/>
            <w:tcBorders>
              <w:top w:val="single" w:color="C2CEDB" w:sz="4"/>
              <w:left w:val="single" w:color="C2CEDB" w:sz="4"/>
              <w:bottom w:val="single" w:color="C2CEDB" w:sz="4"/>
              <w:right w:val="single" w:color="C2CEDB" w:sz="4"/>
            </w:tcBorders>
            <w:shd w:fill="D5E2EE" w:val="clear"/>
            <w:tcMar>
              <w:top w:type="dxa" w:w="80"/>
              <w:left w:type="dxa" w:w="120"/>
              <w:bottom w:type="dxa" w:w="80"/>
              <w:right w:type="dxa" w:w="120"/>
            </w:tcMar>
          </w:tcPr>
          <w:p>
            <w:r>
              <w:rPr>
                <w:b/>
                <w:bCs/>
                <w:i w:val="false"/>
                <w:iCs w:val="false"/>
                <w:color w:val="1A1A1A"/>
                <w:sz w:val="20"/>
                <w:szCs w:val="20"/>
              </w:rPr>
              <w:t xml:space="preserve">Metric</w:t>
            </w:r>
          </w:p>
        </w:tc>
        <w:tc>
          <w:tcPr>
            <w:tcW w:type="dxa" w:w="2000"/>
            <w:tcBorders>
              <w:top w:val="single" w:color="C2CEDB" w:sz="4"/>
              <w:left w:val="single" w:color="C2CEDB" w:sz="4"/>
              <w:bottom w:val="single" w:color="C2CEDB" w:sz="4"/>
              <w:right w:val="single" w:color="C2CEDB" w:sz="4"/>
            </w:tcBorders>
            <w:shd w:fill="D5E2EE" w:val="clear"/>
            <w:tcMar>
              <w:top w:type="dxa" w:w="80"/>
              <w:left w:type="dxa" w:w="120"/>
              <w:bottom w:type="dxa" w:w="80"/>
              <w:right w:type="dxa" w:w="120"/>
            </w:tcMar>
          </w:tcPr>
          <w:p>
            <w:r>
              <w:rPr>
                <w:b/>
                <w:bCs/>
                <w:i w:val="false"/>
                <w:iCs w:val="false"/>
                <w:color w:val="1A1A1A"/>
                <w:sz w:val="20"/>
                <w:szCs w:val="20"/>
              </w:rPr>
              <w:t xml:space="preserve">Value</w:t>
            </w:r>
          </w:p>
        </w:tc>
        <w:tc>
          <w:tcPr>
            <w:tcW w:type="dxa" w:w="4000"/>
            <w:tcBorders>
              <w:top w:val="single" w:color="C2CEDB" w:sz="4"/>
              <w:left w:val="single" w:color="C2CEDB" w:sz="4"/>
              <w:bottom w:val="single" w:color="C2CEDB" w:sz="4"/>
              <w:right w:val="single" w:color="C2CEDB" w:sz="4"/>
            </w:tcBorders>
            <w:shd w:fill="D5E2EE" w:val="clear"/>
            <w:tcMar>
              <w:top w:type="dxa" w:w="80"/>
              <w:left w:type="dxa" w:w="120"/>
              <w:bottom w:type="dxa" w:w="80"/>
              <w:right w:type="dxa" w:w="120"/>
            </w:tcMar>
          </w:tcPr>
          <w:p>
            <w:r>
              <w:rPr>
                <w:b/>
                <w:bCs/>
                <w:i w:val="false"/>
                <w:iCs w:val="false"/>
                <w:color w:val="1A1A1A"/>
                <w:sz w:val="20"/>
                <w:szCs w:val="20"/>
              </w:rPr>
              <w:t xml:space="preserve">How computed / notes</w:t>
            </w:r>
          </w:p>
        </w:tc>
      </w:tr>
      <w:tr>
        <w:tc>
          <w:tcPr>
            <w:tcW w:type="dxa" w:w="3360"/>
            <w:tcBorders>
              <w:top w:val="single" w:color="C2CEDB" w:sz="4"/>
              <w:left w:val="single" w:color="C2CEDB" w:sz="4"/>
              <w:bottom w:val="single" w:color="C2CEDB" w:sz="4"/>
              <w:right w:val="single" w:color="C2CEDB" w:sz="4"/>
            </w:tcBorders>
            <w:tcMar>
              <w:top w:type="dxa" w:w="80"/>
              <w:left w:type="dxa" w:w="120"/>
              <w:bottom w:type="dxa" w:w="80"/>
              <w:right w:type="dxa" w:w="120"/>
            </w:tcMar>
          </w:tcPr>
          <w:p>
            <w:pPr>
              <w:spacing w:after="40"/>
            </w:pPr>
            <w:r>
              <w:rPr>
                <w:rFonts w:ascii="Aptos" w:hAnsi="Aptos"/>
                <w:b w:val="0"/>
                <w:sz w:val="17"/>
              </w:rPr>
              <w:t>Recall@5 / Hit@5</w:t>
            </w:r>
          </w:p>
        </w:tc>
        <w:tc>
          <w:tcPr>
            <w:tcW w:type="dxa" w:w="2000"/>
            <w:tcBorders>
              <w:top w:val="single" w:color="C2CEDB" w:sz="4"/>
              <w:left w:val="single" w:color="C2CEDB" w:sz="4"/>
              <w:bottom w:val="single" w:color="C2CEDB" w:sz="4"/>
              <w:right w:val="single" w:color="C2CEDB" w:sz="4"/>
            </w:tcBorders>
            <w:tcMar>
              <w:top w:type="dxa" w:w="80"/>
              <w:left w:type="dxa" w:w="120"/>
              <w:bottom w:type="dxa" w:w="80"/>
              <w:right w:type="dxa" w:w="120"/>
            </w:tcMar>
          </w:tcPr>
          <w:p>
            <w:pPr>
              <w:spacing w:after="40"/>
            </w:pPr>
            <w:r>
              <w:rPr>
                <w:rFonts w:ascii="Aptos" w:hAnsi="Aptos"/>
                <w:b w:val="0"/>
                <w:sz w:val="17"/>
              </w:rPr>
              <w:t>1.000 / 1.000</w:t>
            </w:r>
          </w:p>
        </w:tc>
        <w:tc>
          <w:tcPr>
            <w:tcW w:type="dxa" w:w="4000"/>
            <w:tcBorders>
              <w:top w:val="single" w:color="C2CEDB" w:sz="4"/>
              <w:left w:val="single" w:color="C2CEDB" w:sz="4"/>
              <w:bottom w:val="single" w:color="C2CEDB" w:sz="4"/>
              <w:right w:val="single" w:color="C2CEDB" w:sz="4"/>
            </w:tcBorders>
            <w:tcMar>
              <w:top w:type="dxa" w:w="80"/>
              <w:left w:type="dxa" w:w="120"/>
              <w:bottom w:type="dxa" w:w="80"/>
              <w:right w:type="dxa" w:w="120"/>
            </w:tcMar>
          </w:tcPr>
          <w:p>
            <w:pPr>
              <w:spacing w:after="40"/>
            </w:pPr>
            <w:r>
              <w:rPr>
                <w:rFonts w:ascii="Aptos" w:hAnsi="Aptos"/>
                <w:b w:val="0"/>
                <w:sz w:val="17"/>
              </w:rPr>
              <w:t>25 answerable questions; evidence-quote relevance labels; hybrid retrieval</w:t>
            </w:r>
          </w:p>
        </w:tc>
      </w:tr>
      <w:tr>
        <w:tc>
          <w:tcPr>
            <w:tcW w:type="dxa" w:w="3360"/>
            <w:tcBorders>
              <w:top w:val="single" w:color="C2CEDB" w:sz="4"/>
              <w:left w:val="single" w:color="C2CEDB" w:sz="4"/>
              <w:bottom w:val="single" w:color="C2CEDB" w:sz="4"/>
              <w:right w:val="single" w:color="C2CEDB" w:sz="4"/>
            </w:tcBorders>
            <w:tcMar>
              <w:top w:type="dxa" w:w="80"/>
              <w:left w:type="dxa" w:w="120"/>
              <w:bottom w:type="dxa" w:w="80"/>
              <w:right w:type="dxa" w:w="120"/>
            </w:tcMar>
          </w:tcPr>
          <w:p>
            <w:pPr>
              <w:spacing w:after="40"/>
            </w:pPr>
            <w:r>
              <w:rPr>
                <w:rFonts w:ascii="Aptos" w:hAnsi="Aptos"/>
                <w:b w:val="0"/>
                <w:sz w:val="17"/>
              </w:rPr>
              <w:t>MRR@5</w:t>
            </w:r>
          </w:p>
        </w:tc>
        <w:tc>
          <w:tcPr>
            <w:tcW w:type="dxa" w:w="2000"/>
            <w:tcBorders>
              <w:top w:val="single" w:color="C2CEDB" w:sz="4"/>
              <w:left w:val="single" w:color="C2CEDB" w:sz="4"/>
              <w:bottom w:val="single" w:color="C2CEDB" w:sz="4"/>
              <w:right w:val="single" w:color="C2CEDB" w:sz="4"/>
            </w:tcBorders>
            <w:tcMar>
              <w:top w:type="dxa" w:w="80"/>
              <w:left w:type="dxa" w:w="120"/>
              <w:bottom w:type="dxa" w:w="80"/>
              <w:right w:type="dxa" w:w="120"/>
            </w:tcMar>
          </w:tcPr>
          <w:p>
            <w:pPr>
              <w:spacing w:after="40"/>
            </w:pPr>
            <w:r>
              <w:rPr>
                <w:rFonts w:ascii="Aptos" w:hAnsi="Aptos"/>
                <w:b w:val="0"/>
                <w:sz w:val="17"/>
              </w:rPr>
              <w:t>0.868</w:t>
            </w:r>
          </w:p>
        </w:tc>
        <w:tc>
          <w:tcPr>
            <w:tcW w:type="dxa" w:w="4000"/>
            <w:tcBorders>
              <w:top w:val="single" w:color="C2CEDB" w:sz="4"/>
              <w:left w:val="single" w:color="C2CEDB" w:sz="4"/>
              <w:bottom w:val="single" w:color="C2CEDB" w:sz="4"/>
              <w:right w:val="single" w:color="C2CEDB" w:sz="4"/>
            </w:tcBorders>
            <w:tcMar>
              <w:top w:type="dxa" w:w="80"/>
              <w:left w:type="dxa" w:w="120"/>
              <w:bottom w:type="dxa" w:w="80"/>
              <w:right w:type="dxa" w:w="120"/>
            </w:tcMar>
          </w:tcPr>
          <w:p>
            <w:pPr>
              <w:spacing w:after="40"/>
            </w:pPr>
            <w:r>
              <w:rPr>
                <w:rFonts w:ascii="Aptos" w:hAnsi="Aptos"/>
                <w:b w:val="0"/>
                <w:sz w:val="17"/>
              </w:rPr>
              <w:t>First relevant evidence rank; 95% bootstrap CI [0.764, 0.948]</w:t>
            </w:r>
          </w:p>
        </w:tc>
      </w:tr>
      <w:tr>
        <w:tc>
          <w:tcPr>
            <w:tcW w:type="dxa" w:w="3360"/>
            <w:tcBorders>
              <w:top w:val="single" w:color="C2CEDB" w:sz="4"/>
              <w:left w:val="single" w:color="C2CEDB" w:sz="4"/>
              <w:bottom w:val="single" w:color="C2CEDB" w:sz="4"/>
              <w:right w:val="single" w:color="C2CEDB" w:sz="4"/>
            </w:tcBorders>
            <w:tcMar>
              <w:top w:type="dxa" w:w="80"/>
              <w:left w:type="dxa" w:w="120"/>
              <w:bottom w:type="dxa" w:w="80"/>
              <w:right w:type="dxa" w:w="120"/>
            </w:tcMar>
          </w:tcPr>
          <w:p>
            <w:pPr>
              <w:spacing w:after="40"/>
            </w:pPr>
            <w:r>
              <w:rPr>
                <w:rFonts w:ascii="Aptos" w:hAnsi="Aptos"/>
                <w:b w:val="0"/>
                <w:sz w:val="17"/>
              </w:rPr>
              <w:t>nDCG@5</w:t>
            </w:r>
          </w:p>
        </w:tc>
        <w:tc>
          <w:tcPr>
            <w:tcW w:type="dxa" w:w="2000"/>
            <w:tcBorders>
              <w:top w:val="single" w:color="C2CEDB" w:sz="4"/>
              <w:left w:val="single" w:color="C2CEDB" w:sz="4"/>
              <w:bottom w:val="single" w:color="C2CEDB" w:sz="4"/>
              <w:right w:val="single" w:color="C2CEDB" w:sz="4"/>
            </w:tcBorders>
            <w:tcMar>
              <w:top w:type="dxa" w:w="80"/>
              <w:left w:type="dxa" w:w="120"/>
              <w:bottom w:type="dxa" w:w="80"/>
              <w:right w:type="dxa" w:w="120"/>
            </w:tcMar>
          </w:tcPr>
          <w:p>
            <w:pPr>
              <w:spacing w:after="40"/>
            </w:pPr>
            <w:r>
              <w:rPr>
                <w:rFonts w:ascii="Aptos" w:hAnsi="Aptos"/>
                <w:b w:val="0"/>
                <w:sz w:val="17"/>
              </w:rPr>
              <w:t>0.898</w:t>
            </w:r>
          </w:p>
        </w:tc>
        <w:tc>
          <w:tcPr>
            <w:tcW w:type="dxa" w:w="4000"/>
            <w:tcBorders>
              <w:top w:val="single" w:color="C2CEDB" w:sz="4"/>
              <w:left w:val="single" w:color="C2CEDB" w:sz="4"/>
              <w:bottom w:val="single" w:color="C2CEDB" w:sz="4"/>
              <w:right w:val="single" w:color="C2CEDB" w:sz="4"/>
            </w:tcBorders>
            <w:tcMar>
              <w:top w:type="dxa" w:w="80"/>
              <w:left w:type="dxa" w:w="120"/>
              <w:bottom w:type="dxa" w:w="80"/>
              <w:right w:type="dxa" w:w="120"/>
            </w:tcMar>
          </w:tcPr>
          <w:p>
            <w:pPr>
              <w:spacing w:after="40"/>
            </w:pPr>
            <w:r>
              <w:rPr>
                <w:rFonts w:ascii="Aptos" w:hAnsi="Aptos"/>
                <w:b w:val="0"/>
                <w:sz w:val="17"/>
              </w:rPr>
              <w:t>Binary gains; 95% bootstrap CI [0.823, 0.959]</w:t>
            </w:r>
          </w:p>
        </w:tc>
      </w:tr>
      <w:tr>
        <w:tc>
          <w:tcPr>
            <w:tcW w:type="dxa" w:w="3360"/>
            <w:tcBorders>
              <w:top w:val="single" w:color="C2CEDB" w:sz="4"/>
              <w:left w:val="single" w:color="C2CEDB" w:sz="4"/>
              <w:bottom w:val="single" w:color="C2CEDB" w:sz="4"/>
              <w:right w:val="single" w:color="C2CEDB" w:sz="4"/>
            </w:tcBorders>
            <w:tcMar>
              <w:top w:type="dxa" w:w="80"/>
              <w:left w:type="dxa" w:w="120"/>
              <w:bottom w:type="dxa" w:w="80"/>
              <w:right w:type="dxa" w:w="120"/>
            </w:tcMar>
          </w:tcPr>
          <w:p>
            <w:pPr>
              <w:spacing w:after="40"/>
            </w:pPr>
            <w:r>
              <w:rPr>
                <w:rFonts w:ascii="Aptos" w:hAnsi="Aptos"/>
                <w:b w:val="0"/>
                <w:sz w:val="17"/>
              </w:rPr>
              <w:t>Context precision@5</w:t>
            </w:r>
          </w:p>
        </w:tc>
        <w:tc>
          <w:tcPr>
            <w:tcW w:type="dxa" w:w="2000"/>
            <w:tcBorders>
              <w:top w:val="single" w:color="C2CEDB" w:sz="4"/>
              <w:left w:val="single" w:color="C2CEDB" w:sz="4"/>
              <w:bottom w:val="single" w:color="C2CEDB" w:sz="4"/>
              <w:right w:val="single" w:color="C2CEDB" w:sz="4"/>
            </w:tcBorders>
            <w:tcMar>
              <w:top w:type="dxa" w:w="80"/>
              <w:left w:type="dxa" w:w="120"/>
              <w:bottom w:type="dxa" w:w="80"/>
              <w:right w:type="dxa" w:w="120"/>
            </w:tcMar>
          </w:tcPr>
          <w:p>
            <w:pPr>
              <w:spacing w:after="40"/>
            </w:pPr>
            <w:r>
              <w:rPr>
                <w:rFonts w:ascii="Aptos" w:hAnsi="Aptos"/>
                <w:b w:val="0"/>
                <w:sz w:val="17"/>
              </w:rPr>
              <w:t>0.860</w:t>
            </w:r>
          </w:p>
        </w:tc>
        <w:tc>
          <w:tcPr>
            <w:tcW w:type="dxa" w:w="4000"/>
            <w:tcBorders>
              <w:top w:val="single" w:color="C2CEDB" w:sz="4"/>
              <w:left w:val="single" w:color="C2CEDB" w:sz="4"/>
              <w:bottom w:val="single" w:color="C2CEDB" w:sz="4"/>
              <w:right w:val="single" w:color="C2CEDB" w:sz="4"/>
            </w:tcBorders>
            <w:tcMar>
              <w:top w:type="dxa" w:w="80"/>
              <w:left w:type="dxa" w:w="120"/>
              <w:bottom w:type="dxa" w:w="80"/>
              <w:right w:type="dxa" w:w="120"/>
            </w:tcMar>
          </w:tcPr>
          <w:p>
            <w:pPr>
              <w:spacing w:after="40"/>
            </w:pPr>
            <w:r>
              <w:rPr>
                <w:rFonts w:ascii="Aptos" w:hAnsi="Aptos"/>
                <w:b w:val="0"/>
                <w:sz w:val="17"/>
              </w:rPr>
              <w:t>Rank-weighted; relevant when a chunk contains ≥50% of a gold evidence quote</w:t>
            </w:r>
          </w:p>
        </w:tc>
      </w:tr>
    </w:tbl>
    <w:p>
      <w:pPr>
        <w:spacing w:after="80"/>
      </w:pPr>
      <w:r>
        <w:rPr>
          <w:b w:val="false"/>
          <w:bCs w:val="false"/>
          <w:i w:val="false"/>
          <w:iCs w:val="false"/>
          <w:color w:val="1A1A1A"/>
          <w:sz w:val="22"/>
          <w:szCs w:val="22"/>
        </w:rPr>
        <w:t xml:space="preserve"/>
      </w:r>
    </w:p>
    <w:p>
      <w:pPr>
        <w:pStyle w:val="Heading3"/>
        <w:keepNext/>
        <w:spacing w:after="70" w:before="140"/>
      </w:pPr>
      <w:r>
        <w:rPr>
          <w:b/>
          <w:bCs/>
          <w:i w:val="false"/>
          <w:iCs w:val="false"/>
          <w:color w:val="1A1A1A"/>
          <w:sz w:val="22"/>
          <w:szCs w:val="22"/>
        </w:rPr>
        <w:t xml:space="preserve">1.3.2  Answer quality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2400"/>
        <w:gridCol w:w="2560"/>
      </w:tblGrid>
      <w:tr>
        <w:tc>
          <w:tcPr>
            <w:tcW w:type="dxa" w:w="2800"/>
            <w:tcBorders>
              <w:top w:val="single" w:color="C2CEDB" w:sz="4"/>
              <w:left w:val="single" w:color="C2CEDB" w:sz="4"/>
              <w:bottom w:val="single" w:color="C2CEDB" w:sz="4"/>
              <w:right w:val="single" w:color="C2CEDB" w:sz="4"/>
            </w:tcBorders>
            <w:shd w:fill="D5E2EE" w:val="clear"/>
            <w:tcMar>
              <w:top w:type="dxa" w:w="80"/>
              <w:left w:type="dxa" w:w="120"/>
              <w:bottom w:type="dxa" w:w="80"/>
              <w:right w:type="dxa" w:w="120"/>
            </w:tcMar>
          </w:tcPr>
          <w:p>
            <w:r>
              <w:rPr>
                <w:b/>
                <w:bCs/>
                <w:i w:val="false"/>
                <w:iCs w:val="false"/>
                <w:color w:val="1A1A1A"/>
                <w:sz w:val="20"/>
                <w:szCs w:val="20"/>
              </w:rPr>
              <w:t xml:space="preserve">Metric</w:t>
            </w:r>
          </w:p>
        </w:tc>
        <w:tc>
          <w:tcPr>
            <w:tcW w:type="dxa" w:w="1600"/>
            <w:tcBorders>
              <w:top w:val="single" w:color="C2CEDB" w:sz="4"/>
              <w:left w:val="single" w:color="C2CEDB" w:sz="4"/>
              <w:bottom w:val="single" w:color="C2CEDB" w:sz="4"/>
              <w:right w:val="single" w:color="C2CEDB" w:sz="4"/>
            </w:tcBorders>
            <w:shd w:fill="D5E2EE" w:val="clear"/>
            <w:tcMar>
              <w:top w:type="dxa" w:w="80"/>
              <w:left w:type="dxa" w:w="120"/>
              <w:bottom w:type="dxa" w:w="80"/>
              <w:right w:type="dxa" w:w="120"/>
            </w:tcMar>
          </w:tcPr>
          <w:p>
            <w:r>
              <w:rPr>
                <w:b/>
                <w:bCs/>
                <w:i w:val="false"/>
                <w:iCs w:val="false"/>
                <w:color w:val="1A1A1A"/>
                <w:sz w:val="20"/>
                <w:szCs w:val="20"/>
              </w:rPr>
              <w:t xml:space="preserve">Score</w:t>
            </w:r>
          </w:p>
        </w:tc>
        <w:tc>
          <w:tcPr>
            <w:tcW w:type="dxa" w:w="2400"/>
            <w:tcBorders>
              <w:top w:val="single" w:color="C2CEDB" w:sz="4"/>
              <w:left w:val="single" w:color="C2CEDB" w:sz="4"/>
              <w:bottom w:val="single" w:color="C2CEDB" w:sz="4"/>
              <w:right w:val="single" w:color="C2CEDB" w:sz="4"/>
            </w:tcBorders>
            <w:shd w:fill="D5E2EE" w:val="clear"/>
            <w:tcMar>
              <w:top w:type="dxa" w:w="80"/>
              <w:left w:type="dxa" w:w="120"/>
              <w:bottom w:type="dxa" w:w="80"/>
              <w:right w:type="dxa" w:w="120"/>
            </w:tcMar>
          </w:tcPr>
          <w:p>
            <w:r>
              <w:rPr>
                <w:b/>
                <w:bCs/>
                <w:i w:val="false"/>
                <w:iCs w:val="false"/>
                <w:color w:val="1A1A1A"/>
                <w:sz w:val="20"/>
                <w:szCs w:val="20"/>
              </w:rPr>
              <w:t xml:space="preserve">Method</w:t>
            </w:r>
          </w:p>
        </w:tc>
        <w:tc>
          <w:tcPr>
            <w:tcW w:type="dxa" w:w="2560"/>
            <w:tcBorders>
              <w:top w:val="single" w:color="C2CEDB" w:sz="4"/>
              <w:left w:val="single" w:color="C2CEDB" w:sz="4"/>
              <w:bottom w:val="single" w:color="C2CEDB" w:sz="4"/>
              <w:right w:val="single" w:color="C2CEDB" w:sz="4"/>
            </w:tcBorders>
            <w:shd w:fill="D5E2EE" w:val="clear"/>
            <w:tcMar>
              <w:top w:type="dxa" w:w="80"/>
              <w:left w:type="dxa" w:w="120"/>
              <w:bottom w:type="dxa" w:w="80"/>
              <w:right w:type="dxa" w:w="120"/>
            </w:tcMar>
          </w:tcPr>
          <w:p>
            <w:r>
              <w:rPr>
                <w:b/>
                <w:bCs/>
                <w:i w:val="false"/>
                <w:iCs w:val="false"/>
                <w:color w:val="1A1A1A"/>
                <w:sz w:val="20"/>
                <w:szCs w:val="20"/>
              </w:rPr>
              <w:t xml:space="preserve">Notes</w:t>
            </w:r>
          </w:p>
        </w:tc>
      </w:tr>
      <w:tr>
        <w:tc>
          <w:tcPr>
            <w:tcW w:type="dxa" w:w="2800"/>
            <w:tcBorders>
              <w:top w:val="single" w:color="C2CEDB" w:sz="4"/>
              <w:left w:val="single" w:color="C2CEDB" w:sz="4"/>
              <w:bottom w:val="single" w:color="C2CEDB" w:sz="4"/>
              <w:right w:val="single" w:color="C2CEDB" w:sz="4"/>
            </w:tcBorders>
            <w:tcMar>
              <w:top w:type="dxa" w:w="80"/>
              <w:left w:type="dxa" w:w="120"/>
              <w:bottom w:type="dxa" w:w="80"/>
              <w:right w:type="dxa" w:w="120"/>
            </w:tcMar>
          </w:tcPr>
          <w:p>
            <w:pPr>
              <w:spacing w:after="40"/>
            </w:pPr>
            <w:r>
              <w:rPr>
                <w:rFonts w:ascii="Aptos" w:hAnsi="Aptos"/>
                <w:b w:val="0"/>
                <w:sz w:val="17"/>
              </w:rPr>
              <w:t>Faithfulness / groundedness</w:t>
            </w:r>
          </w:p>
        </w:tc>
        <w:tc>
          <w:tcPr>
            <w:tcW w:type="dxa" w:w="1600"/>
            <w:tcBorders>
              <w:top w:val="single" w:color="C2CEDB" w:sz="4"/>
              <w:left w:val="single" w:color="C2CEDB" w:sz="4"/>
              <w:bottom w:val="single" w:color="C2CEDB" w:sz="4"/>
              <w:right w:val="single" w:color="C2CEDB" w:sz="4"/>
            </w:tcBorders>
            <w:tcMar>
              <w:top w:type="dxa" w:w="80"/>
              <w:left w:type="dxa" w:w="120"/>
              <w:bottom w:type="dxa" w:w="80"/>
              <w:right w:type="dxa" w:w="120"/>
            </w:tcMar>
          </w:tcPr>
          <w:p>
            <w:pPr>
              <w:spacing w:after="40"/>
            </w:pPr>
            <w:r>
              <w:rPr>
                <w:rFonts w:ascii="Aptos" w:hAnsi="Aptos"/>
                <w:b w:val="0"/>
                <w:sz w:val="18"/>
              </w:rPr>
              <w:t>1.000</w:t>
            </w:r>
          </w:p>
        </w:tc>
        <w:tc>
          <w:tcPr>
            <w:tcW w:type="dxa" w:w="2400"/>
            <w:tcBorders>
              <w:top w:val="single" w:color="C2CEDB" w:sz="4"/>
              <w:left w:val="single" w:color="C2CEDB" w:sz="4"/>
              <w:bottom w:val="single" w:color="C2CEDB" w:sz="4"/>
              <w:right w:val="single" w:color="C2CEDB" w:sz="4"/>
            </w:tcBorders>
            <w:tcMar>
              <w:top w:type="dxa" w:w="80"/>
              <w:left w:type="dxa" w:w="120"/>
              <w:bottom w:type="dxa" w:w="80"/>
              <w:right w:type="dxa" w:w="120"/>
            </w:tcMar>
          </w:tcPr>
          <w:p>
            <w:pPr>
              <w:spacing w:after="40"/>
            </w:pPr>
            <w:r>
              <w:rPr>
                <w:rFonts w:ascii="Aptos" w:hAnsi="Aptos"/>
                <w:b w:val="0"/>
                <w:sz w:val="16"/>
              </w:rPr>
              <w:t>Sonnet 5.5; source-inclusive replay</w:t>
            </w:r>
          </w:p>
        </w:tc>
        <w:tc>
          <w:tcPr>
            <w:tcW w:type="dxa" w:w="2560"/>
            <w:tcBorders>
              <w:top w:val="single" w:color="C2CEDB" w:sz="4"/>
              <w:left w:val="single" w:color="C2CEDB" w:sz="4"/>
              <w:bottom w:val="single" w:color="C2CEDB" w:sz="4"/>
              <w:right w:val="single" w:color="C2CEDB" w:sz="4"/>
            </w:tcBorders>
            <w:tcMar>
              <w:top w:type="dxa" w:w="80"/>
              <w:left w:type="dxa" w:w="120"/>
              <w:bottom w:type="dxa" w:w="80"/>
              <w:right w:type="dxa" w:w="120"/>
            </w:tcMar>
          </w:tcPr>
          <w:p>
            <w:pPr>
              <w:spacing w:after="40"/>
            </w:pPr>
            <w:r>
              <w:rPr>
                <w:rFonts w:ascii="Aptos" w:hAnsi="Aptos"/>
                <w:b w:val="0"/>
                <w:sz w:val="16"/>
              </w:rPr>
              <w:t>25 saved answers frozen; historical mean 0.980. Titles/paths/sections/pages now included; no new generation run.</w:t>
            </w:r>
          </w:p>
        </w:tc>
      </w:tr>
      <w:tr>
        <w:tc>
          <w:tcPr>
            <w:tcW w:type="dxa" w:w="2800"/>
            <w:tcBorders>
              <w:top w:val="single" w:color="C2CEDB" w:sz="4"/>
              <w:left w:val="single" w:color="C2CEDB" w:sz="4"/>
              <w:bottom w:val="single" w:color="C2CEDB" w:sz="4"/>
              <w:right w:val="single" w:color="C2CEDB" w:sz="4"/>
            </w:tcBorders>
            <w:tcMar>
              <w:top w:type="dxa" w:w="80"/>
              <w:left w:type="dxa" w:w="120"/>
              <w:bottom w:type="dxa" w:w="80"/>
              <w:right w:type="dxa" w:w="120"/>
            </w:tcMar>
          </w:tcPr>
          <w:p>
            <w:pPr>
              <w:spacing w:after="40"/>
            </w:pPr>
            <w:r>
              <w:rPr>
                <w:rFonts w:ascii="Aptos" w:hAnsi="Aptos"/>
                <w:b w:val="0"/>
                <w:sz w:val="17"/>
              </w:rPr>
              <w:t>Answer relevance</w:t>
            </w:r>
          </w:p>
        </w:tc>
        <w:tc>
          <w:tcPr>
            <w:tcW w:type="dxa" w:w="1600"/>
            <w:tcBorders>
              <w:top w:val="single" w:color="C2CEDB" w:sz="4"/>
              <w:left w:val="single" w:color="C2CEDB" w:sz="4"/>
              <w:bottom w:val="single" w:color="C2CEDB" w:sz="4"/>
              <w:right w:val="single" w:color="C2CEDB" w:sz="4"/>
            </w:tcBorders>
            <w:tcMar>
              <w:top w:type="dxa" w:w="80"/>
              <w:left w:type="dxa" w:w="120"/>
              <w:bottom w:type="dxa" w:w="80"/>
              <w:right w:type="dxa" w:w="120"/>
            </w:tcMar>
          </w:tcPr>
          <w:p>
            <w:pPr>
              <w:spacing w:after="40"/>
            </w:pPr>
            <w:r>
              <w:rPr>
                <w:rFonts w:ascii="Aptos" w:hAnsi="Aptos"/>
                <w:b w:val="0"/>
                <w:sz w:val="17"/>
              </w:rPr>
              <w:t>0.980</w:t>
            </w:r>
          </w:p>
        </w:tc>
        <w:tc>
          <w:tcPr>
            <w:tcW w:type="dxa" w:w="2400"/>
            <w:tcBorders>
              <w:top w:val="single" w:color="C2CEDB" w:sz="4"/>
              <w:left w:val="single" w:color="C2CEDB" w:sz="4"/>
              <w:bottom w:val="single" w:color="C2CEDB" w:sz="4"/>
              <w:right w:val="single" w:color="C2CEDB" w:sz="4"/>
            </w:tcBorders>
            <w:tcMar>
              <w:top w:type="dxa" w:w="80"/>
              <w:left w:type="dxa" w:w="120"/>
              <w:bottom w:type="dxa" w:w="80"/>
              <w:right w:type="dxa" w:w="120"/>
            </w:tcMar>
          </w:tcPr>
          <w:p>
            <w:pPr>
              <w:spacing w:after="40"/>
            </w:pPr>
            <w:r>
              <w:rPr>
                <w:rFonts w:ascii="Aptos" w:hAnsi="Aptos"/>
                <w:b w:val="0"/>
                <w:sz w:val="17"/>
              </w:rPr>
              <w:t>Claude Sonnet 5.5 judge</w:t>
            </w:r>
          </w:p>
        </w:tc>
        <w:tc>
          <w:tcPr>
            <w:tcW w:type="dxa" w:w="2560"/>
            <w:tcBorders>
              <w:top w:val="single" w:color="C2CEDB" w:sz="4"/>
              <w:left w:val="single" w:color="C2CEDB" w:sz="4"/>
              <w:bottom w:val="single" w:color="C2CEDB" w:sz="4"/>
              <w:right w:val="single" w:color="C2CEDB" w:sz="4"/>
            </w:tcBorders>
            <w:tcMar>
              <w:top w:type="dxa" w:w="80"/>
              <w:left w:type="dxa" w:w="120"/>
              <w:bottom w:type="dxa" w:w="80"/>
              <w:right w:type="dxa" w:w="120"/>
            </w:tcMar>
          </w:tcPr>
          <w:p>
            <w:pPr>
              <w:spacing w:after="40"/>
            </w:pPr>
            <w:r>
              <w:rPr>
                <w:rFonts w:ascii="Aptos" w:hAnsi="Aptos"/>
                <w:b w:val="0"/>
                <w:sz w:val="16"/>
              </w:rPr>
              <w:t>Historical baseline: 25 answers, CI [0.950, 1.000]; relevance not rerun.</w:t>
            </w:r>
          </w:p>
        </w:tc>
      </w:tr>
      <w:tr>
        <w:tc>
          <w:tcPr>
            <w:tcW w:type="dxa" w:w="2800"/>
            <w:tcBorders>
              <w:top w:val="single" w:color="C2CEDB" w:sz="4"/>
              <w:left w:val="single" w:color="C2CEDB" w:sz="4"/>
              <w:bottom w:val="single" w:color="C2CEDB" w:sz="4"/>
              <w:right w:val="single" w:color="C2CEDB" w:sz="4"/>
            </w:tcBorders>
            <w:tcMar>
              <w:top w:type="dxa" w:w="80"/>
              <w:left w:type="dxa" w:w="120"/>
              <w:bottom w:type="dxa" w:w="80"/>
              <w:right w:type="dxa" w:w="120"/>
            </w:tcMar>
          </w:tcPr>
          <w:p>
            <w:pPr>
              <w:spacing w:after="40"/>
            </w:pPr>
            <w:r>
              <w:rPr>
                <w:rFonts w:ascii="Aptos" w:hAnsi="Aptos"/>
                <w:b w:val="0"/>
                <w:sz w:val="17"/>
              </w:rPr>
              <w:t>EM</w:t>
            </w:r>
          </w:p>
        </w:tc>
        <w:tc>
          <w:tcPr>
            <w:tcW w:type="dxa" w:w="1600"/>
            <w:tcBorders>
              <w:top w:val="single" w:color="C2CEDB" w:sz="4"/>
              <w:left w:val="single" w:color="C2CEDB" w:sz="4"/>
              <w:bottom w:val="single" w:color="C2CEDB" w:sz="4"/>
              <w:right w:val="single" w:color="C2CEDB" w:sz="4"/>
            </w:tcBorders>
            <w:tcMar>
              <w:top w:type="dxa" w:w="80"/>
              <w:left w:type="dxa" w:w="120"/>
              <w:bottom w:type="dxa" w:w="80"/>
              <w:right w:type="dxa" w:w="120"/>
            </w:tcMar>
          </w:tcPr>
          <w:p>
            <w:pPr>
              <w:spacing w:after="40"/>
            </w:pPr>
            <w:r>
              <w:rPr>
                <w:rFonts w:ascii="Aptos" w:hAnsi="Aptos"/>
                <w:b w:val="0"/>
                <w:sz w:val="17"/>
              </w:rPr>
              <w:t>0.000</w:t>
            </w:r>
          </w:p>
        </w:tc>
        <w:tc>
          <w:tcPr>
            <w:tcW w:type="dxa" w:w="2400"/>
            <w:tcBorders>
              <w:top w:val="single" w:color="C2CEDB" w:sz="4"/>
              <w:left w:val="single" w:color="C2CEDB" w:sz="4"/>
              <w:bottom w:val="single" w:color="C2CEDB" w:sz="4"/>
              <w:right w:val="single" w:color="C2CEDB" w:sz="4"/>
            </w:tcBorders>
            <w:tcMar>
              <w:top w:type="dxa" w:w="80"/>
              <w:left w:type="dxa" w:w="120"/>
              <w:bottom w:type="dxa" w:w="80"/>
              <w:right w:type="dxa" w:w="120"/>
            </w:tcMar>
          </w:tcPr>
          <w:p>
            <w:pPr>
              <w:spacing w:after="40"/>
            </w:pPr>
            <w:r>
              <w:rPr>
                <w:rFonts w:ascii="Aptos" w:hAnsi="Aptos"/>
                <w:b w:val="0"/>
                <w:sz w:val="16"/>
              </w:rPr>
              <w:t>Historical SQuAD-style metric</w:t>
            </w:r>
          </w:p>
        </w:tc>
        <w:tc>
          <w:tcPr>
            <w:tcW w:type="dxa" w:w="2560"/>
            <w:tcBorders>
              <w:top w:val="single" w:color="C2CEDB" w:sz="4"/>
              <w:left w:val="single" w:color="C2CEDB" w:sz="4"/>
              <w:bottom w:val="single" w:color="C2CEDB" w:sz="4"/>
              <w:right w:val="single" w:color="C2CEDB" w:sz="4"/>
            </w:tcBorders>
            <w:tcMar>
              <w:top w:type="dxa" w:w="80"/>
              <w:left w:type="dxa" w:w="120"/>
              <w:bottom w:type="dxa" w:w="80"/>
              <w:right w:type="dxa" w:w="120"/>
            </w:tcMar>
          </w:tcPr>
          <w:p>
            <w:pPr>
              <w:spacing w:after="40"/>
            </w:pPr>
            <w:r>
              <w:rPr>
                <w:rFonts w:ascii="Aptos" w:hAnsi="Aptos"/>
                <w:b w:val="0"/>
                <w:sz w:val="16"/>
              </w:rPr>
              <w:t>Punctuation becomes spaces, citations stripped; full sentences versus short-span gold.</w:t>
            </w:r>
          </w:p>
        </w:tc>
      </w:tr>
      <w:tr>
        <w:tc>
          <w:tcPr>
            <w:tcW w:type="dxa" w:w="2800"/>
            <w:tcBorders>
              <w:top w:val="single" w:color="C2CEDB" w:sz="4"/>
              <w:left w:val="single" w:color="C2CEDB" w:sz="4"/>
              <w:bottom w:val="single" w:color="C2CEDB" w:sz="4"/>
              <w:right w:val="single" w:color="C2CEDB" w:sz="4"/>
            </w:tcBorders>
            <w:tcMar>
              <w:top w:type="dxa" w:w="80"/>
              <w:left w:type="dxa" w:w="120"/>
              <w:bottom w:type="dxa" w:w="80"/>
              <w:right w:type="dxa" w:w="120"/>
            </w:tcMar>
          </w:tcPr>
          <w:p>
            <w:pPr>
              <w:spacing w:after="40"/>
            </w:pPr>
            <w:r>
              <w:rPr>
                <w:rFonts w:ascii="Aptos" w:hAnsi="Aptos"/>
                <w:b w:val="0"/>
                <w:sz w:val="17"/>
              </w:rPr>
              <w:t>Token F1</w:t>
            </w:r>
          </w:p>
        </w:tc>
        <w:tc>
          <w:tcPr>
            <w:tcW w:type="dxa" w:w="1600"/>
            <w:tcBorders>
              <w:top w:val="single" w:color="C2CEDB" w:sz="4"/>
              <w:left w:val="single" w:color="C2CEDB" w:sz="4"/>
              <w:bottom w:val="single" w:color="C2CEDB" w:sz="4"/>
              <w:right w:val="single" w:color="C2CEDB" w:sz="4"/>
            </w:tcBorders>
            <w:tcMar>
              <w:top w:type="dxa" w:w="80"/>
              <w:left w:type="dxa" w:w="120"/>
              <w:bottom w:type="dxa" w:w="80"/>
              <w:right w:type="dxa" w:w="120"/>
            </w:tcMar>
          </w:tcPr>
          <w:p>
            <w:pPr>
              <w:spacing w:after="40"/>
            </w:pPr>
            <w:r>
              <w:rPr>
                <w:rFonts w:ascii="Aptos" w:hAnsi="Aptos"/>
                <w:b w:val="0"/>
                <w:sz w:val="17"/>
              </w:rPr>
              <w:t>0.272</w:t>
            </w:r>
          </w:p>
        </w:tc>
        <w:tc>
          <w:tcPr>
            <w:tcW w:type="dxa" w:w="2400"/>
            <w:tcBorders>
              <w:top w:val="single" w:color="C2CEDB" w:sz="4"/>
              <w:left w:val="single" w:color="C2CEDB" w:sz="4"/>
              <w:bottom w:val="single" w:color="C2CEDB" w:sz="4"/>
              <w:right w:val="single" w:color="C2CEDB" w:sz="4"/>
            </w:tcBorders>
            <w:tcMar>
              <w:top w:type="dxa" w:w="80"/>
              <w:left w:type="dxa" w:w="120"/>
              <w:bottom w:type="dxa" w:w="80"/>
              <w:right w:type="dxa" w:w="120"/>
            </w:tcMar>
          </w:tcPr>
          <w:p>
            <w:pPr>
              <w:spacing w:after="40"/>
            </w:pPr>
            <w:r>
              <w:rPr>
                <w:rFonts w:ascii="Aptos" w:hAnsi="Aptos"/>
                <w:b w:val="0"/>
                <w:sz w:val="16"/>
              </w:rPr>
              <w:t>Historical SQuAD-style metric</w:t>
            </w:r>
          </w:p>
        </w:tc>
        <w:tc>
          <w:tcPr>
            <w:tcW w:type="dxa" w:w="2560"/>
            <w:tcBorders>
              <w:top w:val="single" w:color="C2CEDB" w:sz="4"/>
              <w:left w:val="single" w:color="C2CEDB" w:sz="4"/>
              <w:bottom w:val="single" w:color="C2CEDB" w:sz="4"/>
              <w:right w:val="single" w:color="C2CEDB" w:sz="4"/>
            </w:tcBorders>
            <w:tcMar>
              <w:top w:type="dxa" w:w="80"/>
              <w:left w:type="dxa" w:w="120"/>
              <w:bottom w:type="dxa" w:w="80"/>
              <w:right w:type="dxa" w:w="120"/>
            </w:tcMar>
          </w:tcPr>
          <w:p>
            <w:pPr>
              <w:spacing w:after="40"/>
            </w:pPr>
            <w:r>
              <w:rPr>
                <w:rFonts w:ascii="Aptos" w:hAnsi="Aptos"/>
                <w:b w:val="0"/>
                <w:sz w:val="16"/>
              </w:rPr>
              <w:t>Historical CI [0.209, 0.339]; contains-gold 0.720. Not the identical official SQuAD normalizer.</w:t>
            </w:r>
          </w:p>
        </w:tc>
      </w:tr>
    </w:tbl>
    <w:p>
      <w:pPr>
        <w:keepNext/>
        <w:spacing w:after="80"/>
      </w:pPr>
      <w:r>
        <w:rPr>
          <w:b w:val="false"/>
          <w:bCs w:val="false"/>
          <w:i w:val="false"/>
          <w:iCs w:val="false"/>
          <w:color w:val="1A1A1A"/>
          <w:sz w:val="22"/>
          <w:szCs w:val="22"/>
        </w:rPr>
        <w:t xml:space="preserve"/>
      </w:r>
    </w:p>
    <w:p>
      <w:pPr>
        <w:pStyle w:val="Heading3"/>
        <w:spacing w:after="70" w:before="140"/>
        <w:keepNext/>
      </w:pPr>
      <w:r>
        <w:rPr>
          <w:b/>
          <w:bCs/>
          <w:i w:val="false"/>
          <w:iCs w:val="false"/>
          <w:color w:val="1A1A1A"/>
          <w:sz w:val="22"/>
          <w:szCs w:val="22"/>
        </w:rPr>
        <w:t xml:space="preserve">1.3.3  Cost comparison across scale</w:t>
      </w:r>
    </w:p>
    <w:p>
      <w:pPr>
        <w:spacing w:after="140"/>
        <w:keepNext/>
      </w:pPr>
      <w:r>
        <w:rPr>
          <w:b w:val="false"/>
          <w:bCs w:val="false"/>
          <w:i/>
          <w:iCs/>
          <w:color w:val="7A7A7A"/>
          <w:sz w:val="21"/>
          <w:szCs w:val="21"/>
        </w:rPr>
        <w:t xml:space="preserve">Monthly cost for your store vs a managed vector DB. State pricing assumptions in the box below the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2400"/>
        <w:gridCol w:w="2400"/>
      </w:tblGrid>
      <w:tr>
        <w:tc>
          <w:tcPr>
            <w:tcW w:type="dxa" w:w="2160"/>
            <w:tcBorders>
              <w:top w:val="single" w:color="C2CEDB" w:sz="4"/>
              <w:left w:val="single" w:color="C2CEDB" w:sz="4"/>
              <w:bottom w:val="single" w:color="C2CEDB" w:sz="4"/>
              <w:right w:val="single" w:color="C2CEDB" w:sz="4"/>
            </w:tcBorders>
            <w:shd w:fill="D5E2EE" w:val="clear"/>
            <w:tcMar>
              <w:top w:type="dxa" w:w="80"/>
              <w:left w:type="dxa" w:w="120"/>
              <w:bottom w:type="dxa" w:w="80"/>
              <w:right w:type="dxa" w:w="120"/>
            </w:tcMar>
          </w:tcPr>
          <w:p>
            <w:r>
              <w:rPr>
                <w:b/>
                <w:bCs/>
                <w:i w:val="false"/>
                <w:iCs w:val="false"/>
                <w:color w:val="1A1A1A"/>
                <w:sz w:val="20"/>
                <w:szCs w:val="20"/>
              </w:rPr>
              <w:t xml:space="preserve">Vectors</w:t>
            </w:r>
          </w:p>
        </w:tc>
        <w:tc>
          <w:tcPr>
            <w:tcW w:type="dxa" w:w="2400"/>
            <w:tcBorders>
              <w:top w:val="single" w:color="C2CEDB" w:sz="4"/>
              <w:left w:val="single" w:color="C2CEDB" w:sz="4"/>
              <w:bottom w:val="single" w:color="C2CEDB" w:sz="4"/>
              <w:right w:val="single" w:color="C2CEDB" w:sz="4"/>
            </w:tcBorders>
            <w:shd w:fill="D5E2EE" w:val="clear"/>
            <w:tcMar>
              <w:top w:type="dxa" w:w="80"/>
              <w:left w:type="dxa" w:w="120"/>
              <w:bottom w:type="dxa" w:w="80"/>
              <w:right w:type="dxa" w:w="120"/>
            </w:tcMar>
          </w:tcPr>
          <w:p>
            <w:r>
              <w:rPr>
                <w:b/>
                <w:bCs/>
                <w:i w:val="false"/>
                <w:iCs w:val="false"/>
                <w:color w:val="1A1A1A"/>
                <w:sz w:val="20"/>
                <w:szCs w:val="20"/>
              </w:rPr>
              <w:t xml:space="preserve">Your store ($/mo)</w:t>
            </w:r>
          </w:p>
        </w:tc>
        <w:tc>
          <w:tcPr>
            <w:tcW w:type="dxa" w:w="2400"/>
            <w:tcBorders>
              <w:top w:val="single" w:color="C2CEDB" w:sz="4"/>
              <w:left w:val="single" w:color="C2CEDB" w:sz="4"/>
              <w:bottom w:val="single" w:color="C2CEDB" w:sz="4"/>
              <w:right w:val="single" w:color="C2CEDB" w:sz="4"/>
            </w:tcBorders>
            <w:shd w:fill="D5E2EE" w:val="clear"/>
            <w:tcMar>
              <w:top w:type="dxa" w:w="80"/>
              <w:left w:type="dxa" w:w="120"/>
              <w:bottom w:type="dxa" w:w="80"/>
              <w:right w:type="dxa" w:w="120"/>
            </w:tcMar>
          </w:tcPr>
          <w:p>
            <w:r>
              <w:rPr>
                <w:b/>
                <w:bCs/>
                <w:i w:val="false"/>
                <w:iCs w:val="false"/>
                <w:color w:val="1A1A1A"/>
                <w:sz w:val="20"/>
                <w:szCs w:val="20"/>
              </w:rPr>
              <w:t xml:space="preserve">Managed DB ($/mo)</w:t>
            </w:r>
          </w:p>
        </w:tc>
        <w:tc>
          <w:tcPr>
            <w:tcW w:type="dxa" w:w="2400"/>
            <w:tcBorders>
              <w:top w:val="single" w:color="C2CEDB" w:sz="4"/>
              <w:left w:val="single" w:color="C2CEDB" w:sz="4"/>
              <w:bottom w:val="single" w:color="C2CEDB" w:sz="4"/>
              <w:right w:val="single" w:color="C2CEDB" w:sz="4"/>
            </w:tcBorders>
            <w:shd w:fill="D5E2EE" w:val="clear"/>
            <w:tcMar>
              <w:top w:type="dxa" w:w="80"/>
              <w:left w:type="dxa" w:w="120"/>
              <w:bottom w:type="dxa" w:w="80"/>
              <w:right w:type="dxa" w:w="120"/>
            </w:tcMar>
          </w:tcPr>
          <w:p>
            <w:r>
              <w:rPr>
                <w:b/>
                <w:bCs/>
                <w:i w:val="false"/>
                <w:iCs w:val="false"/>
                <w:color w:val="1A1A1A"/>
                <w:sz w:val="20"/>
                <w:szCs w:val="20"/>
              </w:rPr>
              <w:t xml:space="preserve">Savings / notes</w:t>
            </w:r>
          </w:p>
        </w:tc>
      </w:tr>
      <w:tr>
        <w:tc>
          <w:tcPr>
            <w:tcW w:type="dxa" w:w="2160"/>
            <w:tcBorders>
              <w:top w:val="single" w:color="C2CEDB" w:sz="4"/>
              <w:left w:val="single" w:color="C2CEDB" w:sz="4"/>
              <w:bottom w:val="single" w:color="C2CEDB" w:sz="4"/>
              <w:right w:val="single" w:color="C2CEDB" w:sz="4"/>
            </w:tcBorders>
            <w:tcMar>
              <w:top w:type="dxa" w:w="80"/>
              <w:left w:type="dxa" w:w="120"/>
              <w:bottom w:type="dxa" w:w="80"/>
              <w:right w:type="dxa" w:w="120"/>
            </w:tcMar>
          </w:tcPr>
          <w:p>
            <w:pPr>
              <w:spacing w:after="40"/>
            </w:pPr>
            <w:r>
              <w:rPr>
                <w:rFonts w:ascii="Aptos" w:hAnsi="Aptos"/>
                <w:b w:val="0"/>
                <w:sz w:val="17"/>
              </w:rPr>
              <w:t>100K</w:t>
            </w:r>
          </w:p>
        </w:tc>
        <w:tc>
          <w:tcPr>
            <w:tcW w:type="dxa" w:w="2400"/>
            <w:tcBorders>
              <w:top w:val="single" w:color="C2CEDB" w:sz="4"/>
              <w:left w:val="single" w:color="C2CEDB" w:sz="4"/>
              <w:bottom w:val="single" w:color="C2CEDB" w:sz="4"/>
              <w:right w:val="single" w:color="C2CEDB" w:sz="4"/>
            </w:tcBorders>
            <w:tcMar>
              <w:top w:type="dxa" w:w="80"/>
              <w:left w:type="dxa" w:w="120"/>
              <w:bottom w:type="dxa" w:w="80"/>
              <w:right w:type="dxa" w:w="120"/>
            </w:tcMar>
          </w:tcPr>
          <w:p>
            <w:pPr>
              <w:spacing w:after="40"/>
            </w:pPr>
            <w:r>
              <w:rPr>
                <w:rFonts w:ascii="Aptos" w:hAnsi="Aptos"/>
                <w:b w:val="0"/>
                <w:sz w:val="17"/>
              </w:rPr>
              <w:t>$13.88</w:t>
            </w:r>
          </w:p>
        </w:tc>
        <w:tc>
          <w:tcPr>
            <w:tcW w:type="dxa" w:w="2400"/>
            <w:tcBorders>
              <w:top w:val="single" w:color="C2CEDB" w:sz="4"/>
              <w:left w:val="single" w:color="C2CEDB" w:sz="4"/>
              <w:bottom w:val="single" w:color="C2CEDB" w:sz="4"/>
              <w:right w:val="single" w:color="C2CEDB" w:sz="4"/>
            </w:tcBorders>
            <w:tcMar>
              <w:top w:type="dxa" w:w="80"/>
              <w:left w:type="dxa" w:w="120"/>
              <w:bottom w:type="dxa" w:w="80"/>
              <w:right w:type="dxa" w:w="120"/>
            </w:tcMar>
          </w:tcPr>
          <w:p>
            <w:pPr>
              <w:spacing w:after="40"/>
            </w:pPr>
            <w:r>
              <w:rPr>
                <w:rFonts w:ascii="Aptos" w:hAnsi="Aptos"/>
                <w:b w:val="0"/>
                <w:sz w:val="17"/>
              </w:rPr>
              <w:t>$50.00</w:t>
            </w:r>
          </w:p>
        </w:tc>
        <w:tc>
          <w:tcPr>
            <w:tcW w:type="dxa" w:w="2400"/>
            <w:tcBorders>
              <w:top w:val="single" w:color="C2CEDB" w:sz="4"/>
              <w:left w:val="single" w:color="C2CEDB" w:sz="4"/>
              <w:bottom w:val="single" w:color="C2CEDB" w:sz="4"/>
              <w:right w:val="single" w:color="C2CEDB" w:sz="4"/>
            </w:tcBorders>
            <w:tcMar>
              <w:top w:type="dxa" w:w="80"/>
              <w:left w:type="dxa" w:w="120"/>
              <w:bottom w:type="dxa" w:w="80"/>
              <w:right w:type="dxa" w:w="120"/>
            </w:tcMar>
          </w:tcPr>
          <w:p>
            <w:pPr>
              <w:spacing w:after="40"/>
            </w:pPr>
            <w:r>
              <w:rPr>
                <w:rFonts w:ascii="Aptos" w:hAnsi="Aptos"/>
                <w:b w:val="0"/>
                <w:sz w:val="17"/>
              </w:rPr>
              <w:t>$36.12/month lower; t4g.small + 20 GB gp3</w:t>
            </w:r>
          </w:p>
        </w:tc>
      </w:tr>
      <w:tr>
        <w:tc>
          <w:tcPr>
            <w:tcW w:type="dxa" w:w="2160"/>
            <w:tcBorders>
              <w:top w:val="single" w:color="C2CEDB" w:sz="4"/>
              <w:left w:val="single" w:color="C2CEDB" w:sz="4"/>
              <w:bottom w:val="single" w:color="C2CEDB" w:sz="4"/>
              <w:right w:val="single" w:color="C2CEDB" w:sz="4"/>
            </w:tcBorders>
            <w:tcMar>
              <w:top w:type="dxa" w:w="80"/>
              <w:left w:type="dxa" w:w="120"/>
              <w:bottom w:type="dxa" w:w="80"/>
              <w:right w:type="dxa" w:w="120"/>
            </w:tcMar>
          </w:tcPr>
          <w:p>
            <w:pPr>
              <w:spacing w:after="40"/>
            </w:pPr>
            <w:r>
              <w:rPr>
                <w:rFonts w:ascii="Aptos" w:hAnsi="Aptos"/>
                <w:b w:val="0"/>
                <w:sz w:val="17"/>
              </w:rPr>
              <w:t>1M</w:t>
            </w:r>
          </w:p>
        </w:tc>
        <w:tc>
          <w:tcPr>
            <w:tcW w:type="dxa" w:w="2400"/>
            <w:tcBorders>
              <w:top w:val="single" w:color="C2CEDB" w:sz="4"/>
              <w:left w:val="single" w:color="C2CEDB" w:sz="4"/>
              <w:bottom w:val="single" w:color="C2CEDB" w:sz="4"/>
              <w:right w:val="single" w:color="C2CEDB" w:sz="4"/>
            </w:tcBorders>
            <w:tcMar>
              <w:top w:type="dxa" w:w="80"/>
              <w:left w:type="dxa" w:w="120"/>
              <w:bottom w:type="dxa" w:w="80"/>
              <w:right w:type="dxa" w:w="120"/>
            </w:tcMar>
          </w:tcPr>
          <w:p>
            <w:pPr>
              <w:spacing w:after="40"/>
            </w:pPr>
            <w:r>
              <w:rPr>
                <w:rFonts w:ascii="Aptos" w:hAnsi="Aptos"/>
                <w:b w:val="0"/>
                <w:sz w:val="17"/>
              </w:rPr>
              <w:t>$26.27</w:t>
            </w:r>
          </w:p>
        </w:tc>
        <w:tc>
          <w:tcPr>
            <w:tcW w:type="dxa" w:w="2400"/>
            <w:tcBorders>
              <w:top w:val="single" w:color="C2CEDB" w:sz="4"/>
              <w:left w:val="single" w:color="C2CEDB" w:sz="4"/>
              <w:bottom w:val="single" w:color="C2CEDB" w:sz="4"/>
              <w:right w:val="single" w:color="C2CEDB" w:sz="4"/>
            </w:tcBorders>
            <w:tcMar>
              <w:top w:type="dxa" w:w="80"/>
              <w:left w:type="dxa" w:w="120"/>
              <w:bottom w:type="dxa" w:w="80"/>
              <w:right w:type="dxa" w:w="120"/>
            </w:tcMar>
          </w:tcPr>
          <w:p>
            <w:pPr>
              <w:spacing w:after="40"/>
            </w:pPr>
            <w:r>
              <w:rPr>
                <w:rFonts w:ascii="Aptos" w:hAnsi="Aptos"/>
                <w:b w:val="0"/>
                <w:sz w:val="17"/>
              </w:rPr>
              <w:t>$50.00</w:t>
            </w:r>
          </w:p>
        </w:tc>
        <w:tc>
          <w:tcPr>
            <w:tcW w:type="dxa" w:w="2400"/>
            <w:tcBorders>
              <w:top w:val="single" w:color="C2CEDB" w:sz="4"/>
              <w:left w:val="single" w:color="C2CEDB" w:sz="4"/>
              <w:bottom w:val="single" w:color="C2CEDB" w:sz="4"/>
              <w:right w:val="single" w:color="C2CEDB" w:sz="4"/>
            </w:tcBorders>
            <w:tcMar>
              <w:top w:type="dxa" w:w="80"/>
              <w:left w:type="dxa" w:w="120"/>
              <w:bottom w:type="dxa" w:w="80"/>
              <w:right w:type="dxa" w:w="120"/>
            </w:tcMar>
          </w:tcPr>
          <w:p>
            <w:pPr>
              <w:spacing w:after="40"/>
            </w:pPr>
            <w:r>
              <w:rPr>
                <w:rFonts w:ascii="Aptos" w:hAnsi="Aptos"/>
                <w:b w:val="0"/>
                <w:sz w:val="17"/>
              </w:rPr>
              <w:t>$23.73/month lower; t4g.medium + 20 GB gp3</w:t>
            </w:r>
          </w:p>
        </w:tc>
      </w:tr>
      <w:tr>
        <w:tc>
          <w:tcPr>
            <w:tcW w:type="dxa" w:w="2160"/>
            <w:tcBorders>
              <w:top w:val="single" w:color="C2CEDB" w:sz="4"/>
              <w:left w:val="single" w:color="C2CEDB" w:sz="4"/>
              <w:bottom w:val="single" w:color="C2CEDB" w:sz="4"/>
              <w:right w:val="single" w:color="C2CEDB" w:sz="4"/>
            </w:tcBorders>
            <w:tcMar>
              <w:top w:type="dxa" w:w="80"/>
              <w:left w:type="dxa" w:w="120"/>
              <w:bottom w:type="dxa" w:w="80"/>
              <w:right w:type="dxa" w:w="120"/>
            </w:tcMar>
          </w:tcPr>
          <w:p>
            <w:pPr>
              <w:spacing w:after="40"/>
            </w:pPr>
            <w:r>
              <w:rPr>
                <w:rFonts w:ascii="Aptos" w:hAnsi="Aptos"/>
                <w:b w:val="0"/>
                <w:sz w:val="17"/>
              </w:rPr>
              <w:t>10M</w:t>
            </w:r>
          </w:p>
        </w:tc>
        <w:tc>
          <w:tcPr>
            <w:tcW w:type="dxa" w:w="2400"/>
            <w:tcBorders>
              <w:top w:val="single" w:color="C2CEDB" w:sz="4"/>
              <w:left w:val="single" w:color="C2CEDB" w:sz="4"/>
              <w:bottom w:val="single" w:color="C2CEDB" w:sz="4"/>
              <w:right w:val="single" w:color="C2CEDB" w:sz="4"/>
            </w:tcBorders>
            <w:tcMar>
              <w:top w:type="dxa" w:w="80"/>
              <w:left w:type="dxa" w:w="120"/>
              <w:bottom w:type="dxa" w:w="80"/>
              <w:right w:type="dxa" w:w="120"/>
            </w:tcMar>
          </w:tcPr>
          <w:p>
            <w:pPr>
              <w:spacing w:after="40"/>
            </w:pPr>
            <w:r>
              <w:rPr>
                <w:rFonts w:ascii="Aptos" w:hAnsi="Aptos"/>
                <w:b w:val="0"/>
                <w:sz w:val="17"/>
              </w:rPr>
              <w:t>$220.85</w:t>
            </w:r>
          </w:p>
        </w:tc>
        <w:tc>
          <w:tcPr>
            <w:tcW w:type="dxa" w:w="2400"/>
            <w:tcBorders>
              <w:top w:val="single" w:color="C2CEDB" w:sz="4"/>
              <w:left w:val="single" w:color="C2CEDB" w:sz="4"/>
              <w:bottom w:val="single" w:color="C2CEDB" w:sz="4"/>
              <w:right w:val="single" w:color="C2CEDB" w:sz="4"/>
            </w:tcBorders>
            <w:tcMar>
              <w:top w:type="dxa" w:w="80"/>
              <w:left w:type="dxa" w:w="120"/>
              <w:bottom w:type="dxa" w:w="80"/>
              <w:right w:type="dxa" w:w="120"/>
            </w:tcMar>
          </w:tcPr>
          <w:p>
            <w:pPr>
              <w:spacing w:after="40"/>
            </w:pPr>
            <w:r>
              <w:rPr>
                <w:rFonts w:ascii="Aptos" w:hAnsi="Aptos"/>
                <w:b w:val="0"/>
                <w:sz w:val="17"/>
              </w:rPr>
              <w:t>$73.14</w:t>
            </w:r>
          </w:p>
        </w:tc>
        <w:tc>
          <w:tcPr>
            <w:tcW w:type="dxa" w:w="2400"/>
            <w:tcBorders>
              <w:top w:val="single" w:color="C2CEDB" w:sz="4"/>
              <w:left w:val="single" w:color="C2CEDB" w:sz="4"/>
              <w:bottom w:val="single" w:color="C2CEDB" w:sz="4"/>
              <w:right w:val="single" w:color="C2CEDB" w:sz="4"/>
            </w:tcBorders>
            <w:tcMar>
              <w:top w:type="dxa" w:w="80"/>
              <w:left w:type="dxa" w:w="120"/>
              <w:bottom w:type="dxa" w:w="80"/>
              <w:right w:type="dxa" w:w="120"/>
            </w:tcMar>
          </w:tcPr>
          <w:p>
            <w:pPr>
              <w:spacing w:after="40"/>
            </w:pPr>
            <w:r>
              <w:rPr>
                <w:rFonts w:ascii="Aptos" w:hAnsi="Aptos"/>
                <w:b w:val="0"/>
                <w:sz w:val="17"/>
              </w:rPr>
              <w:t>$147.71/month higher; serverless wins at this low query volume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A9BDD3" w:sz="6"/>
              <w:left w:val="dashed" w:color="A9BDD3" w:sz="6"/>
              <w:bottom w:val="dashed" w:color="A9BDD3" w:sz="6"/>
              <w:right w:val="dashed" w:color="A9BDD3" w:sz="6"/>
            </w:tcBorders>
            <w:shd w:fill="F4F7FB" w:val="clear"/>
            <w:tcMar>
              <w:top w:type="dxa" w:w="140"/>
              <w:left w:type="dxa" w:w="160"/>
              <w:bottom w:type="dxa" w:w="140"/>
              <w:right w:type="dxa" w:w="160"/>
            </w:tcMar>
          </w:tcPr>
          <w:p>
            <w:pPr>
              <w:spacing w:after="40"/>
            </w:pPr>
            <w:r>
              <w:rPr>
                <w:rFonts w:ascii="Aptos" w:hAnsi="Aptos"/>
                <w:b w:val="0"/>
                <w:sz w:val="16"/>
              </w:rPr>
              <w:t>Model assumptions: 384-d vectors; 100K user queries/month; 10% monthly re-upsert; AWS us-east-1 on-demand; gp3 $0.08/GB-month; S3 $0.023/GB-month; Pinecone Standard $50 minimum, $0.33/GB-month, $16/M reads, $4/M writes. Vector-store estimates are unchanged. Generation is about $0.31/1K actual generation calls or $0.30/1K user queries at the measured 29/30 call rate. Full formulas and source assumptions are retained in scripts/cost_model.py.</w:t>
            </w:r>
          </w:p>
        </w:tc>
      </w:tr>
    </w:tbl>
    <w:p>
      <w:pPr>
        <w:spacing w:after="80"/>
      </w:pPr>
      <w:r>
        <w:rPr>
          <w:b w:val="false"/>
          <w:bCs w:val="false"/>
          <w:i w:val="false"/>
          <w:iCs w:val="false"/>
          <w:color w:val="1A1A1A"/>
          <w:sz w:val="22"/>
          <w:szCs w:val="22"/>
        </w:rPr>
        <w:t xml:space="preserve"/>
      </w:r>
    </w:p>
    <w:p>
      <w:pPr>
        <w:pStyle w:val="Heading3"/>
        <w:spacing w:after="70" w:before="140"/>
        <w:keepNext/>
      </w:pPr>
      <w:r>
        <w:rPr>
          <w:b/>
          <w:bCs/>
          <w:i w:val="false"/>
          <w:iCs w:val="false"/>
          <w:color w:val="1A1A1A"/>
          <w:sz w:val="22"/>
          <w:szCs w:val="22"/>
        </w:rPr>
        <w:t xml:space="preserve">1.3.4  Latency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4000"/>
      </w:tblGrid>
      <w:tr>
        <w:tc>
          <w:tcPr>
            <w:tcW w:type="dxa" w:w="3360"/>
            <w:tcBorders>
              <w:top w:val="single" w:color="C2CEDB" w:sz="4"/>
              <w:left w:val="single" w:color="C2CEDB" w:sz="4"/>
              <w:bottom w:val="single" w:color="C2CEDB" w:sz="4"/>
              <w:right w:val="single" w:color="C2CEDB" w:sz="4"/>
            </w:tcBorders>
            <w:shd w:fill="D5E2EE" w:val="clear"/>
            <w:tcMar>
              <w:top w:type="dxa" w:w="80"/>
              <w:left w:type="dxa" w:w="120"/>
              <w:bottom w:type="dxa" w:w="80"/>
              <w:right w:type="dxa" w:w="120"/>
            </w:tcMar>
          </w:tcPr>
          <w:p>
            <w:r>
              <w:rPr>
                <w:b/>
                <w:bCs/>
                <w:i w:val="false"/>
                <w:iCs w:val="false"/>
                <w:color w:val="1A1A1A"/>
                <w:sz w:val="20"/>
                <w:szCs w:val="20"/>
              </w:rPr>
              <w:t xml:space="preserve">Metric</w:t>
            </w:r>
          </w:p>
        </w:tc>
        <w:tc>
          <w:tcPr>
            <w:tcW w:type="dxa" w:w="2000"/>
            <w:tcBorders>
              <w:top w:val="single" w:color="C2CEDB" w:sz="4"/>
              <w:left w:val="single" w:color="C2CEDB" w:sz="4"/>
              <w:bottom w:val="single" w:color="C2CEDB" w:sz="4"/>
              <w:right w:val="single" w:color="C2CEDB" w:sz="4"/>
            </w:tcBorders>
            <w:shd w:fill="D5E2EE" w:val="clear"/>
            <w:tcMar>
              <w:top w:type="dxa" w:w="80"/>
              <w:left w:type="dxa" w:w="120"/>
              <w:bottom w:type="dxa" w:w="80"/>
              <w:right w:type="dxa" w:w="120"/>
            </w:tcMar>
          </w:tcPr>
          <w:p>
            <w:r>
              <w:rPr>
                <w:b/>
                <w:bCs/>
                <w:i w:val="false"/>
                <w:iCs w:val="false"/>
                <w:color w:val="1A1A1A"/>
                <w:sz w:val="20"/>
                <w:szCs w:val="20"/>
              </w:rPr>
              <w:t xml:space="preserve">Value (ms)</w:t>
            </w:r>
          </w:p>
        </w:tc>
        <w:tc>
          <w:tcPr>
            <w:tcW w:type="dxa" w:w="4000"/>
            <w:tcBorders>
              <w:top w:val="single" w:color="C2CEDB" w:sz="4"/>
              <w:left w:val="single" w:color="C2CEDB" w:sz="4"/>
              <w:bottom w:val="single" w:color="C2CEDB" w:sz="4"/>
              <w:right w:val="single" w:color="C2CEDB" w:sz="4"/>
            </w:tcBorders>
            <w:shd w:fill="D5E2EE" w:val="clear"/>
            <w:tcMar>
              <w:top w:type="dxa" w:w="80"/>
              <w:left w:type="dxa" w:w="120"/>
              <w:bottom w:type="dxa" w:w="80"/>
              <w:right w:type="dxa" w:w="120"/>
            </w:tcMar>
          </w:tcPr>
          <w:p>
            <w:r>
              <w:rPr>
                <w:b/>
                <w:bCs/>
                <w:i w:val="false"/>
                <w:iCs w:val="false"/>
                <w:color w:val="1A1A1A"/>
                <w:sz w:val="20"/>
                <w:szCs w:val="20"/>
              </w:rPr>
              <w:t xml:space="preserve">Notes / conditions</w:t>
            </w:r>
          </w:p>
        </w:tc>
      </w:tr>
      <w:tr>
        <w:tc>
          <w:tcPr>
            <w:tcW w:type="dxa" w:w="3360"/>
            <w:tcBorders>
              <w:top w:val="single" w:color="C2CEDB" w:sz="4"/>
              <w:left w:val="single" w:color="C2CEDB" w:sz="4"/>
              <w:bottom w:val="single" w:color="C2CEDB" w:sz="4"/>
              <w:right w:val="single" w:color="C2CEDB" w:sz="4"/>
            </w:tcBorders>
            <w:tcMar>
              <w:top w:type="dxa" w:w="80"/>
              <w:left w:type="dxa" w:w="120"/>
              <w:bottom w:type="dxa" w:w="80"/>
              <w:right w:type="dxa" w:w="120"/>
            </w:tcMar>
          </w:tcPr>
          <w:p>
            <w:pPr>
              <w:spacing w:after="40"/>
            </w:pPr>
            <w:r>
              <w:rPr>
                <w:rFonts w:ascii="Aptos" w:hAnsi="Aptos"/>
                <w:b w:val="0"/>
                <w:sz w:val="17"/>
              </w:rPr>
              <w:t>Retrieval p50</w:t>
            </w:r>
          </w:p>
        </w:tc>
        <w:tc>
          <w:tcPr>
            <w:tcW w:type="dxa" w:w="2000"/>
            <w:tcBorders>
              <w:top w:val="single" w:color="C2CEDB" w:sz="4"/>
              <w:left w:val="single" w:color="C2CEDB" w:sz="4"/>
              <w:bottom w:val="single" w:color="C2CEDB" w:sz="4"/>
              <w:right w:val="single" w:color="C2CEDB" w:sz="4"/>
            </w:tcBorders>
            <w:tcMar>
              <w:top w:type="dxa" w:w="80"/>
              <w:left w:type="dxa" w:w="120"/>
              <w:bottom w:type="dxa" w:w="80"/>
              <w:right w:type="dxa" w:w="120"/>
            </w:tcMar>
          </w:tcPr>
          <w:p>
            <w:pPr>
              <w:spacing w:after="40"/>
            </w:pPr>
            <w:r>
              <w:rPr>
                <w:rFonts w:ascii="Aptos" w:hAnsi="Aptos"/>
                <w:b w:val="0"/>
                <w:sz w:val="17"/>
              </w:rPr>
              <w:t>17.88</w:t>
            </w:r>
          </w:p>
        </w:tc>
        <w:tc>
          <w:tcPr>
            <w:tcW w:type="dxa" w:w="4000"/>
            <w:tcBorders>
              <w:top w:val="single" w:color="C2CEDB" w:sz="4"/>
              <w:left w:val="single" w:color="C2CEDB" w:sz="4"/>
              <w:bottom w:val="single" w:color="C2CEDB" w:sz="4"/>
              <w:right w:val="single" w:color="C2CEDB" w:sz="4"/>
            </w:tcBorders>
            <w:tcMar>
              <w:top w:type="dxa" w:w="80"/>
              <w:left w:type="dxa" w:w="120"/>
              <w:bottom w:type="dxa" w:w="80"/>
              <w:right w:type="dxa" w:w="120"/>
            </w:tcMar>
          </w:tcPr>
          <w:p>
            <w:pPr>
              <w:spacing w:after="40"/>
            </w:pPr>
            <w:r>
              <w:rPr>
                <w:rFonts w:ascii="Aptos" w:hAnsi="Aptos"/>
                <w:b w:val="0"/>
                <w:sz w:val="17"/>
              </w:rPr>
              <w:t>Reviewed run: k=5, 274 chunks, warm; 90 samples; includes embedding/search/fetch</w:t>
            </w:r>
          </w:p>
        </w:tc>
      </w:tr>
      <w:tr>
        <w:tc>
          <w:tcPr>
            <w:tcW w:type="dxa" w:w="3360"/>
            <w:tcBorders>
              <w:top w:val="single" w:color="C2CEDB" w:sz="4"/>
              <w:left w:val="single" w:color="C2CEDB" w:sz="4"/>
              <w:bottom w:val="single" w:color="C2CEDB" w:sz="4"/>
              <w:right w:val="single" w:color="C2CEDB" w:sz="4"/>
            </w:tcBorders>
            <w:tcMar>
              <w:top w:type="dxa" w:w="80"/>
              <w:left w:type="dxa" w:w="120"/>
              <w:bottom w:type="dxa" w:w="80"/>
              <w:right w:type="dxa" w:w="120"/>
            </w:tcMar>
          </w:tcPr>
          <w:p>
            <w:pPr>
              <w:spacing w:after="40"/>
            </w:pPr>
            <w:r>
              <w:rPr>
                <w:rFonts w:ascii="Aptos" w:hAnsi="Aptos"/>
                <w:b w:val="0"/>
                <w:sz w:val="17"/>
              </w:rPr>
              <w:t>Retrieval p95</w:t>
            </w:r>
          </w:p>
        </w:tc>
        <w:tc>
          <w:tcPr>
            <w:tcW w:type="dxa" w:w="2000"/>
            <w:tcBorders>
              <w:top w:val="single" w:color="C2CEDB" w:sz="4"/>
              <w:left w:val="single" w:color="C2CEDB" w:sz="4"/>
              <w:bottom w:val="single" w:color="C2CEDB" w:sz="4"/>
              <w:right w:val="single" w:color="C2CEDB" w:sz="4"/>
            </w:tcBorders>
            <w:tcMar>
              <w:top w:type="dxa" w:w="80"/>
              <w:left w:type="dxa" w:w="120"/>
              <w:bottom w:type="dxa" w:w="80"/>
              <w:right w:type="dxa" w:w="120"/>
            </w:tcMar>
          </w:tcPr>
          <w:p>
            <w:pPr>
              <w:spacing w:after="40"/>
            </w:pPr>
            <w:r>
              <w:rPr>
                <w:rFonts w:ascii="Aptos" w:hAnsi="Aptos"/>
                <w:b w:val="0"/>
                <w:sz w:val="17"/>
              </w:rPr>
              <w:t>24.36</w:t>
            </w:r>
          </w:p>
        </w:tc>
        <w:tc>
          <w:tcPr>
            <w:tcW w:type="dxa" w:w="4000"/>
            <w:tcBorders>
              <w:top w:val="single" w:color="C2CEDB" w:sz="4"/>
              <w:left w:val="single" w:color="C2CEDB" w:sz="4"/>
              <w:bottom w:val="single" w:color="C2CEDB" w:sz="4"/>
              <w:right w:val="single" w:color="C2CEDB" w:sz="4"/>
            </w:tcBorders>
            <w:tcMar>
              <w:top w:type="dxa" w:w="80"/>
              <w:left w:type="dxa" w:w="120"/>
              <w:bottom w:type="dxa" w:w="80"/>
              <w:right w:type="dxa" w:w="120"/>
            </w:tcMar>
          </w:tcPr>
          <w:p>
            <w:pPr>
              <w:spacing w:after="40"/>
            </w:pPr>
            <w:r>
              <w:rPr>
                <w:rFonts w:ascii="Aptos" w:hAnsi="Aptos"/>
                <w:b w:val="0"/>
                <w:sz w:val="17"/>
              </w:rPr>
              <w:t>Windows 11, Intel family 6 model 170, 22 logical CPUs; RAM not recorded</w:t>
            </w:r>
          </w:p>
        </w:tc>
      </w:tr>
      <w:tr>
        <w:tc>
          <w:tcPr>
            <w:tcW w:type="dxa" w:w="3360"/>
            <w:tcBorders>
              <w:top w:val="single" w:color="C2CEDB" w:sz="4"/>
              <w:left w:val="single" w:color="C2CEDB" w:sz="4"/>
              <w:bottom w:val="single" w:color="C2CEDB" w:sz="4"/>
              <w:right w:val="single" w:color="C2CEDB" w:sz="4"/>
            </w:tcBorders>
            <w:tcMar>
              <w:top w:type="dxa" w:w="80"/>
              <w:left w:type="dxa" w:w="120"/>
              <w:bottom w:type="dxa" w:w="80"/>
              <w:right w:type="dxa" w:w="120"/>
            </w:tcMar>
          </w:tcPr>
          <w:p>
            <w:pPr>
              <w:spacing w:after="40"/>
            </w:pPr>
            <w:r>
              <w:rPr>
                <w:rFonts w:ascii="Aptos" w:hAnsi="Aptos"/>
                <w:b w:val="0"/>
                <w:sz w:val="17"/>
              </w:rPr>
              <w:t>End-to-end p95</w:t>
            </w:r>
          </w:p>
        </w:tc>
        <w:tc>
          <w:tcPr>
            <w:tcW w:type="dxa" w:w="2000"/>
            <w:tcBorders>
              <w:top w:val="single" w:color="C2CEDB" w:sz="4"/>
              <w:left w:val="single" w:color="C2CEDB" w:sz="4"/>
              <w:bottom w:val="single" w:color="C2CEDB" w:sz="4"/>
              <w:right w:val="single" w:color="C2CEDB" w:sz="4"/>
            </w:tcBorders>
            <w:tcMar>
              <w:top w:type="dxa" w:w="80"/>
              <w:left w:type="dxa" w:w="120"/>
              <w:bottom w:type="dxa" w:w="80"/>
              <w:right w:type="dxa" w:w="120"/>
            </w:tcMar>
          </w:tcPr>
          <w:p>
            <w:pPr>
              <w:spacing w:after="40"/>
            </w:pPr>
            <w:r>
              <w:rPr>
                <w:rFonts w:ascii="Aptos" w:hAnsi="Aptos"/>
                <w:b w:val="0"/>
                <w:sz w:val="17"/>
              </w:rPr>
              <w:t>1,795.4</w:t>
            </w:r>
          </w:p>
        </w:tc>
        <w:tc>
          <w:tcPr>
            <w:tcW w:type="dxa" w:w="4000"/>
            <w:tcBorders>
              <w:top w:val="single" w:color="C2CEDB" w:sz="4"/>
              <w:left w:val="single" w:color="C2CEDB" w:sz="4"/>
              <w:bottom w:val="single" w:color="C2CEDB" w:sz="4"/>
              <w:right w:val="single" w:color="C2CEDB" w:sz="4"/>
            </w:tcBorders>
            <w:tcMar>
              <w:top w:type="dxa" w:w="80"/>
              <w:left w:type="dxa" w:w="120"/>
              <w:bottom w:type="dxa" w:w="80"/>
              <w:right w:type="dxa" w:w="120"/>
            </w:tcMar>
          </w:tcPr>
          <w:p>
            <w:pPr>
              <w:spacing w:after="40"/>
            </w:pPr>
            <w:r>
              <w:rPr>
                <w:rFonts w:ascii="Aptos" w:hAnsi="Aptos"/>
                <w:b w:val="0"/>
                <w:sz w:val="17"/>
              </w:rPr>
              <w:t>Historical Linux run; generation was not repeated in the retrieval-only rerun</w:t>
            </w:r>
          </w:p>
        </w:tc>
      </w:tr>
    </w:tbl>
    <w:p>
      <w:pPr>
        <w:spacing w:after="80"/>
      </w:pPr>
      <w:r>
        <w:rPr>
          <w:b w:val="false"/>
          <w:bCs w:val="false"/>
          <w:i w:val="false"/>
          <w:iCs w:val="false"/>
          <w:color w:val="1A1A1A"/>
          <w:sz w:val="22"/>
          <w:szCs w:val="22"/>
        </w:rPr>
        <w:t xml:space="preserve"/>
      </w:r>
    </w:p>
    <w:p>
      <w:pPr>
        <w:pStyle w:val="Heading2"/>
        <w:spacing w:after="100" w:before="220"/>
        <w:keepNext/>
      </w:pPr>
      <w:r>
        <w:rPr>
          <w:b/>
          <w:bCs/>
          <w:i w:val="false"/>
          <w:iCs w:val="false"/>
          <w:color w:val="2E6CA6"/>
          <w:sz w:val="25"/>
          <w:szCs w:val="25"/>
        </w:rPr>
        <w:t xml:space="preserve">1.4  Design Decisions &amp; Trade-offs</w:t>
      </w:r>
    </w:p>
    <w:p>
      <w:pPr>
        <w:spacing w:after="140"/>
        <w:keepNext/>
      </w:pPr>
      <w:r>
        <w:rPr>
          <w:b w:val="false"/>
          <w:bCs w:val="false"/>
          <w:i/>
          <w:iCs/>
          <w:color w:val="7A7A7A"/>
          <w:sz w:val="21"/>
          <w:szCs w:val="21"/>
        </w:rPr>
        <w:t xml:space="preserve">One short paragraph per prompt. Be specific about what you tried and rejected.</w:t>
      </w:r>
    </w:p>
    <w:p>
      <w:pPr>
        <w:pStyle w:val="Heading3"/>
        <w:spacing w:after="70" w:before="140"/>
        <w:keepNext/>
      </w:pPr>
      <w:r>
        <w:rPr>
          <w:b/>
          <w:bCs/>
          <w:i w:val="false"/>
          <w:iCs w:val="false"/>
          <w:color w:val="1A1A1A"/>
          <w:sz w:val="22"/>
          <w:szCs w:val="22"/>
        </w:rPr>
        <w:t xml:space="preserve">Why this vector store over the others on the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A9BDD3" w:sz="6"/>
              <w:left w:val="dashed" w:color="A9BDD3" w:sz="6"/>
              <w:bottom w:val="dashed" w:color="A9BDD3" w:sz="6"/>
              <w:right w:val="dashed" w:color="A9BDD3" w:sz="6"/>
            </w:tcBorders>
            <w:shd w:fill="F4F7FB" w:val="clear"/>
            <w:tcMar>
              <w:top w:type="dxa" w:w="140"/>
              <w:left w:type="dxa" w:w="160"/>
              <w:bottom w:type="dxa" w:w="140"/>
              <w:right w:type="dxa" w:w="160"/>
            </w:tcMar>
          </w:tcPr>
          <w:p>
            <w:pPr>
              <w:spacing w:after="40"/>
            </w:pPr>
            <w:r>
              <w:rPr>
                <w:rFonts w:ascii="Aptos" w:hAnsi="Aptos"/>
                <w:b w:val="0"/>
                <w:sz w:val="17"/>
              </w:rPr>
              <w:t>sqlite-vec matched the lightly queried workload: one SQLite file, transactional updates, metadata filters inside KNN, and no managed-service minimum. pgvector or Qdrant becomes preferable when the team already operates that service or needs ANN/HA at larger scale.</w:t>
            </w:r>
          </w:p>
        </w:tc>
      </w:tr>
    </w:tbl>
    <w:p>
      <w:pPr>
        <w:pStyle w:val="Heading3"/>
        <w:spacing w:after="70" w:before="140"/>
        <w:keepNext/>
      </w:pPr>
      <w:r>
        <w:rPr>
          <w:b/>
          <w:bCs/>
          <w:i w:val="false"/>
          <w:iCs w:val="false"/>
          <w:color w:val="1A1A1A"/>
          <w:sz w:val="22"/>
          <w:szCs w:val="22"/>
        </w:rPr>
        <w:t xml:space="preserve">Chunking strategy (size / overlap) and why — what degraded at other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A9BDD3" w:sz="6"/>
              <w:left w:val="dashed" w:color="A9BDD3" w:sz="6"/>
              <w:bottom w:val="dashed" w:color="A9BDD3" w:sz="6"/>
              <w:right w:val="dashed" w:color="A9BDD3" w:sz="6"/>
            </w:tcBorders>
            <w:shd w:fill="F4F7FB" w:val="clear"/>
            <w:tcMar>
              <w:top w:type="dxa" w:w="140"/>
              <w:left w:type="dxa" w:w="160"/>
              <w:bottom w:type="dxa" w:w="140"/>
              <w:right w:type="dxa" w:w="160"/>
            </w:tcMar>
          </w:tcPr>
          <w:p>
            <w:pPr>
              <w:spacing w:after="40"/>
            </w:pPr>
            <w:r>
              <w:rPr>
                <w:rFonts w:ascii="Aptos" w:hAnsi="Aptos"/>
                <w:b w:val="0"/>
                <w:sz w:val="17"/>
              </w:rPr>
              <w:t>The default 350/50 setting retains exactly the original 274 chunk IDs and truncates 0/274 embedding inputs (maximum 463 model tokens, limit 512). The reviewed chunker fixes small-setting overflows. Larger 512/64 and 800/100 ablations truncate 33/195 and 83/135 embedding inputs, so their quality differences do not isolate chunk size alone.</w:t>
            </w:r>
          </w:p>
        </w:tc>
      </w:tr>
    </w:tbl>
    <w:p>
      <w:pPr>
        <w:pStyle w:val="Heading3"/>
        <w:spacing w:after="70" w:before="140"/>
        <w:keepNext/>
      </w:pPr>
      <w:r>
        <w:rPr>
          <w:b/>
          <w:bCs/>
          <w:i w:val="false"/>
          <w:iCs w:val="false"/>
          <w:color w:val="1A1A1A"/>
          <w:sz w:val="22"/>
          <w:szCs w:val="22"/>
        </w:rPr>
        <w:t xml:space="preserve">Embedding model + dimensionality, and the cost/quality trade-off behind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A9BDD3" w:sz="6"/>
              <w:left w:val="dashed" w:color="A9BDD3" w:sz="6"/>
              <w:bottom w:val="dashed" w:color="A9BDD3" w:sz="6"/>
              <w:right w:val="dashed" w:color="A9BDD3" w:sz="6"/>
            </w:tcBorders>
            <w:shd w:fill="F4F7FB" w:val="clear"/>
            <w:tcMar>
              <w:top w:type="dxa" w:w="140"/>
              <w:left w:type="dxa" w:w="160"/>
              <w:bottom w:type="dxa" w:w="140"/>
              <w:right w:type="dxa" w:w="160"/>
            </w:tcMar>
          </w:tcPr>
          <w:p>
            <w:pPr>
              <w:spacing w:after="40"/>
            </w:pPr>
            <w:r>
              <w:rPr>
                <w:rFonts w:ascii="Aptos" w:hAnsi="Aptos"/>
                <w:b w:val="0"/>
                <w:sz w:val="17"/>
              </w:rPr>
              <w:t>BAAI/bge-small-en-v1.5 produces 384-d normalized embeddings locally through ONNX. It keeps storage and CPU cost low and gave hybrid Recall@5=1.00; the accepted trade-off is less semantic headroom than a larger embedding model.</w:t>
            </w:r>
          </w:p>
        </w:tc>
      </w:tr>
    </w:tbl>
    <w:p>
      <w:pPr>
        <w:pStyle w:val="Heading3"/>
        <w:spacing w:after="70" w:before="140"/>
        <w:keepNext/>
      </w:pPr>
      <w:r>
        <w:rPr>
          <w:b/>
          <w:bCs/>
          <w:i w:val="false"/>
          <w:iCs w:val="false"/>
          <w:color w:val="1A1A1A"/>
          <w:sz w:val="22"/>
          <w:szCs w:val="22"/>
        </w:rPr>
        <w:t xml:space="preserve">How you handle “no relevant context” without hallucinating.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A9BDD3" w:sz="6"/>
              <w:left w:val="dashed" w:color="A9BDD3" w:sz="6"/>
              <w:bottom w:val="dashed" w:color="A9BDD3" w:sz="6"/>
              <w:right w:val="dashed" w:color="A9BDD3" w:sz="6"/>
            </w:tcBorders>
            <w:shd w:fill="F4F7FB" w:val="clear"/>
            <w:tcMar>
              <w:top w:type="dxa" w:w="140"/>
              <w:left w:type="dxa" w:w="160"/>
              <w:bottom w:type="dxa" w:w="140"/>
              <w:right w:type="dxa" w:w="160"/>
            </w:tcMar>
          </w:tcPr>
          <w:p>
            <w:pPr>
              <w:spacing w:after="40"/>
            </w:pPr>
            <w:r>
              <w:rPr>
                <w:rFonts w:ascii="Aptos" w:hAnsi="Aptos"/>
                <w:b w:val="0"/>
                <w:sz w:val="17"/>
              </w:rPr>
              <w:t>Below cosine 0.5 the gate returns the abstention response without a model call. The generation prompt uses the numbered evidence and treats embedded instructions as untrusted. Empty/truncated outputs are failures, and a refusal followed by a guess is retained for evaluation. The paired context suite separately records correct answers, correct refusals, incorrect refusals and unsupported answers.</w:t>
            </w:r>
          </w:p>
        </w:tc>
      </w:tr>
    </w:tbl>
    <w:p>
      <w:pPr>
        <w:pStyle w:val="Heading3"/>
        <w:spacing w:after="70" w:before="140"/>
        <w:keepNext/>
      </w:pPr>
      <w:r>
        <w:rPr>
          <w:b/>
          <w:bCs/>
          <w:i w:val="false"/>
          <w:iCs w:val="false"/>
          <w:color w:val="1A1A1A"/>
          <w:sz w:val="22"/>
          <w:szCs w:val="22"/>
        </w:rPr>
        <w:t xml:space="preserve">Idempotent re-ingest: how do you guarantee no duplicate vectors?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A9BDD3" w:sz="6"/>
              <w:left w:val="dashed" w:color="A9BDD3" w:sz="6"/>
              <w:bottom w:val="dashed" w:color="A9BDD3" w:sz="6"/>
              <w:right w:val="dashed" w:color="A9BDD3" w:sz="6"/>
            </w:tcBorders>
            <w:shd w:fill="F4F7FB" w:val="clear"/>
            <w:tcMar>
              <w:top w:type="dxa" w:w="140"/>
              <w:left w:type="dxa" w:w="160"/>
              <w:bottom w:type="dxa" w:w="140"/>
              <w:right w:type="dxa" w:w="160"/>
            </w:tcMar>
          </w:tcPr>
          <w:p>
            <w:pPr>
              <w:spacing w:after="40"/>
            </w:pPr>
            <w:r>
              <w:rPr>
                <w:rFonts w:ascii="Aptos" w:hAnsi="Aptos"/>
                <w:b w:val="0"/>
                <w:sz w:val="17"/>
              </w:rPr>
              <w:t>The document ID is the corpus-relative path. A SHA-256 plus chunking/embedding fingerprint skips unchanged files. Changed documents have chunks, vectors and FTS rows replaced in one transaction; unique chunk constraints prevent duplicates. Re-ingestion kept vectors at 274 and wrote zero chunks.</w:t>
            </w:r>
          </w:p>
        </w:tc>
      </w:tr>
    </w:tbl>
    <w:p>
      <w:pPr>
        <w:pStyle w:val="Heading3"/>
        <w:spacing w:after="70" w:before="140"/>
        <w:keepNext/>
      </w:pPr>
      <w:r>
        <w:rPr>
          <w:b/>
          <w:bCs/>
          <w:i w:val="false"/>
          <w:iCs w:val="false"/>
          <w:color w:val="1A1A1A"/>
          <w:sz w:val="22"/>
          <w:szCs w:val="22"/>
        </w:rPr>
        <w:t xml:space="preserve">Which trade-offs did you knowingly accept, and when would you switch back to a managed DB?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A9BDD3" w:sz="6"/>
              <w:left w:val="dashed" w:color="A9BDD3" w:sz="6"/>
              <w:bottom w:val="dashed" w:color="A9BDD3" w:sz="6"/>
              <w:right w:val="dashed" w:color="A9BDD3" w:sz="6"/>
            </w:tcBorders>
            <w:shd w:fill="F4F7FB" w:val="clear"/>
            <w:tcMar>
              <w:top w:type="dxa" w:w="140"/>
              <w:left w:type="dxa" w:w="160"/>
              <w:bottom w:type="dxa" w:w="140"/>
              <w:right w:type="dxa" w:w="160"/>
            </w:tcMar>
          </w:tcPr>
          <w:p>
            <w:pPr>
              <w:spacing w:after="40"/>
            </w:pPr>
            <w:r>
              <w:rPr>
                <w:rFonts w:ascii="Aptos" w:hAnsi="Aptos"/>
                <w:b w:val="0"/>
                <w:sz w:val="17"/>
              </w:rPr>
              <w:t>Accepted trade-offs are O(n) vector scans, single-writer SQLite, no built-in replication/HA, and duplicated FTS text. At 5–10M vectors, interactive-latency or HA/multi-writer requirements justify moving to managed serverless or self-hosted Qdrant/pgvector with HNSW.</w:t>
            </w:r>
          </w:p>
        </w:tc>
      </w:tr>
    </w:tbl>
    <w:p>
      <w:pPr>
        <w:spacing w:after="80"/>
      </w:pPr>
      <w:r>
        <w:rPr>
          <w:b w:val="false"/>
          <w:bCs w:val="false"/>
          <w:i w:val="false"/>
          <w:iCs w:val="false"/>
          <w:color w:val="1A1A1A"/>
          <w:sz w:val="22"/>
          <w:szCs w:val="22"/>
        </w:rPr>
        <w:t xml:space="preserve"/>
      </w:r>
    </w:p>
    <w:p>
      <w:pPr>
        <w:pStyle w:val="Heading2"/>
        <w:spacing w:after="100" w:before="220"/>
        <w:keepNext/>
      </w:pPr>
      <w:r>
        <w:rPr>
          <w:b/>
          <w:bCs/>
          <w:i w:val="false"/>
          <w:iCs w:val="false"/>
          <w:color w:val="2E6CA6"/>
          <w:sz w:val="25"/>
          <w:szCs w:val="25"/>
        </w:rPr>
        <w:t xml:space="preserve">1.5  Subtask Evidence &amp; Reflection</w:t>
      </w:r>
    </w:p>
    <w:p>
      <w:pPr>
        <w:spacing w:after="100" w:line="240" w:lineRule="auto"/>
        <w:keepLines/>
        <w:keepNext/>
      </w:pPr>
      <w:r>
        <w:rPr>
          <w:rFonts w:ascii="Aptos" w:hAnsi="Aptos"/>
          <w:sz w:val="22"/>
          <w:color w:val="000000"/>
        </w:rPr>
        <w:t xml:space="preserve">Evidence and the three Problem 1 answers are included below. AI assistance is described in the disclosure.</w:t>
      </w:r>
    </w:p>
    <w:p>
      <w:pPr>
        <w:pStyle w:val="Heading3"/>
        <w:spacing w:after="70" w:before="140"/>
        <w:keepNext/>
      </w:pPr>
      <w:r>
        <w:rPr>
          <w:b/>
          <w:bCs/>
          <w:i w:val="false"/>
          <w:iCs w:val="false"/>
          <w:color w:val="1A1A1A"/>
          <w:sz w:val="22"/>
          <w:szCs w:val="22"/>
        </w:rPr>
        <w:t xml:space="preserve">Screenshot — end-to-end query</w:t>
      </w:r>
    </w:p>
    <w:p>
      <w:pPr>
        <w:spacing w:after="140"/>
        <w:keepNext/>
      </w:pPr>
      <w:r>
        <w:rPr>
          <w:b w:val="false"/>
          <w:bCs w:val="false"/>
          <w:i/>
          <w:iCs/>
          <w:color w:val="7A7A7A"/>
          <w:sz w:val="21"/>
          <w:szCs w:val="21"/>
        </w:rPr>
        <w:t xml:space="preserve">Terminal / log output of one query showing per-query latency, chunk count, and token usage.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A9BDD3" w:sz="6"/>
              <w:left w:val="dashed" w:color="A9BDD3" w:sz="6"/>
              <w:bottom w:val="dashed" w:color="A9BDD3" w:sz="6"/>
              <w:right w:val="dashed" w:color="A9BDD3" w:sz="6"/>
            </w:tcBorders>
            <w:shd w:fill="F4F7FB" w:val="clear"/>
            <w:tcMar>
              <w:top w:type="dxa" w:w="140"/>
              <w:left w:type="dxa" w:w="160"/>
              <w:bottom w:type="dxa" w:w="140"/>
              <w:right w:type="dxa" w:w="160"/>
            </w:tcMar>
          </w:tcPr>
          <w:p>
            <w:pPr>
              <w:jc w:val="center"/>
            </w:pPr>
            <w:r/>
            <w:r>
              <w:drawing>
                <wp:inline xmlns:a="http://schemas.openxmlformats.org/drawingml/2006/main" xmlns:pic="http://schemas.openxmlformats.org/drawingml/2006/picture">
                  <wp:extent cx="5806440" cy="2239884"/>
                  <wp:docPr id="2" name="Picture 2"/>
                  <wp:cNvGraphicFramePr>
                    <a:graphicFrameLocks noChangeAspect="1"/>
                  </wp:cNvGraphicFramePr>
                  <a:graphic>
                    <a:graphicData uri="http://schemas.openxmlformats.org/drawingml/2006/picture">
                      <pic:pic>
                        <pic:nvPicPr>
                          <pic:cNvPr id="0" name="query.png"/>
                          <pic:cNvPicPr/>
                        </pic:nvPicPr>
                        <pic:blipFill>
                          <a:blip r:embed="rId10"/>
                          <a:stretch>
                            <a:fillRect/>
                          </a:stretch>
                        </pic:blipFill>
                        <pic:spPr>
                          <a:xfrm>
                            <a:off x="0" y="0"/>
                            <a:ext cx="5806440" cy="2239884"/>
                          </a:xfrm>
                          <a:prstGeom prst="rect"/>
                        </pic:spPr>
                      </pic:pic>
                    </a:graphicData>
                  </a:graphic>
                </wp:inline>
              </w:drawing>
            </w:r>
          </w:p>
          <w:p>
            <w:pPr>
              <w:spacing w:after="40"/>
              <w:jc w:val="center"/>
            </w:pPr>
            <w:r>
              <w:rPr>
                <w:rFonts w:ascii="Aptos" w:hAnsi="Aptos"/>
                <w:b w:val="0"/>
                <w:color w:val="475569"/>
                <w:sz w:val="16"/>
              </w:rPr>
              <w:t>Historical end-to-end query: 5 chunks, 2,336 input + 66 output tokens, 794.8 ms total, citations [1] and [3].</w:t>
            </w:r>
          </w:p>
        </w:tc>
      </w:tr>
    </w:tbl>
    <w:p>
      <w:pPr>
        <w:spacing w:after="80"/>
      </w:pPr>
      <w:r>
        <w:rPr>
          <w:b w:val="false"/>
          <w:bCs w:val="false"/>
          <w:i w:val="false"/>
          <w:iCs w:val="false"/>
          <w:color w:val="1A1A1A"/>
          <w:sz w:val="22"/>
          <w:szCs w:val="22"/>
        </w:rPr>
        <w:t xml:space="preserve"/>
      </w:r>
    </w:p>
    <w:p>
      <w:pPr>
        <w:pStyle w:val="Heading3"/>
        <w:spacing w:after="70" w:before="140"/>
        <w:keepNext/>
      </w:pPr>
      <w:r>
        <w:rPr>
          <w:b/>
          <w:bCs/>
          <w:i w:val="false"/>
          <w:iCs w:val="false"/>
          <w:color w:val="1A1A1A"/>
          <w:sz w:val="22"/>
          <w:szCs w:val="22"/>
        </w:rPr>
        <w:t xml:space="preserve">Screenshot — idempotent re-ingest</w:t>
      </w:r>
    </w:p>
    <w:p>
      <w:pPr>
        <w:spacing w:after="140"/>
        <w:keepNext/>
      </w:pPr>
      <w:r>
        <w:rPr>
          <w:b w:val="false"/>
          <w:bCs w:val="false"/>
          <w:i/>
          <w:iCs/>
          <w:color w:val="7A7A7A"/>
          <w:sz w:val="21"/>
          <w:szCs w:val="21"/>
        </w:rPr>
        <w:t xml:space="preserve">Show the vector count is unchanged after re-running ingestion on the same corpus.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A9BDD3" w:sz="6"/>
              <w:left w:val="dashed" w:color="A9BDD3" w:sz="6"/>
              <w:bottom w:val="dashed" w:color="A9BDD3" w:sz="6"/>
              <w:right w:val="dashed" w:color="A9BDD3" w:sz="6"/>
            </w:tcBorders>
            <w:shd w:fill="F4F7FB" w:val="clear"/>
            <w:tcMar>
              <w:top w:type="dxa" w:w="140"/>
              <w:left w:type="dxa" w:w="160"/>
              <w:bottom w:type="dxa" w:w="140"/>
              <w:right w:type="dxa" w:w="160"/>
            </w:tcMar>
          </w:tcPr>
          <w:p>
            <w:pPr>
              <w:jc w:val="center"/>
            </w:pPr>
            <w:r/>
            <w:r>
              <w:drawing>
                <wp:inline xmlns:a="http://schemas.openxmlformats.org/drawingml/2006/main" xmlns:pic="http://schemas.openxmlformats.org/drawingml/2006/picture">
                  <wp:extent cx="5806440" cy="2154002"/>
                  <wp:docPr id="3" name="Picture 3"/>
                  <wp:cNvGraphicFramePr>
                    <a:graphicFrameLocks noChangeAspect="1"/>
                  </wp:cNvGraphicFramePr>
                  <a:graphic>
                    <a:graphicData uri="http://schemas.openxmlformats.org/drawingml/2006/picture">
                      <pic:pic>
                        <pic:nvPicPr>
                          <pic:cNvPr id="0" name="reingest.png"/>
                          <pic:cNvPicPr/>
                        </pic:nvPicPr>
                        <pic:blipFill>
                          <a:blip r:embed="rId11"/>
                          <a:stretch>
                            <a:fillRect/>
                          </a:stretch>
                        </pic:blipFill>
                        <pic:spPr>
                          <a:xfrm>
                            <a:off x="0" y="0"/>
                            <a:ext cx="5806440" cy="2154002"/>
                          </a:xfrm>
                          <a:prstGeom prst="rect"/>
                        </pic:spPr>
                      </pic:pic>
                    </a:graphicData>
                  </a:graphic>
                </wp:inline>
              </w:drawing>
            </w:r>
          </w:p>
          <w:p>
            <w:pPr>
              <w:spacing w:after="40"/>
              <w:jc w:val="center"/>
            </w:pPr>
            <w:r>
              <w:rPr>
                <w:rFonts w:ascii="Aptos" w:hAnsi="Aptos"/>
                <w:b w:val="0"/>
                <w:color w:val="475569"/>
                <w:sz w:val="16"/>
              </w:rPr>
              <w:t>Historical repeated ingestion: 33 unchanged, 0 chunks written, vectors 274 → 274.</w:t>
            </w:r>
          </w:p>
        </w:tc>
      </w:tr>
    </w:tbl>
    <w:p>
      <w:pPr>
        <w:spacing w:after="80"/>
      </w:pPr>
      <w:r>
        <w:rPr>
          <w:b w:val="false"/>
          <w:bCs w:val="false"/>
          <w:i w:val="false"/>
          <w:iCs w:val="false"/>
          <w:color w:val="1A1A1A"/>
          <w:sz w:val="22"/>
          <w:szCs w:val="22"/>
        </w:rPr>
        <w:t xml:space="preserve"/>
      </w:r>
    </w:p>
    <w:p>
      <w:pPr>
        <w:pStyle w:val="Heading3"/>
        <w:spacing w:after="70" w:before="140"/>
        <w:keepNext/>
      </w:pPr>
      <w:r>
        <w:rPr>
          <w:b/>
          <w:bCs/>
          <w:i w:val="false"/>
          <w:iCs w:val="false"/>
          <w:color w:val="1A1A1A"/>
          <w:sz w:val="22"/>
          <w:szCs w:val="22"/>
        </w:rPr>
        <w:t xml:space="preserve">Walk through one query (your own words)</w:t>
      </w:r>
    </w:p>
    <w:p>
      <w:pPr>
        <w:spacing w:after="140"/>
        <w:keepNext/>
      </w:pPr>
      <w:r>
        <w:rPr>
          <w:b w:val="false"/>
          <w:bCs w:val="false"/>
          <w:i/>
          <w:iCs/>
          <w:color w:val="7A7A7A"/>
          <w:sz w:val="21"/>
          <w:szCs w:val="21"/>
        </w:rPr>
        <w:t xml:space="preserve">From HTTP request to cited answer — what happens at each hop? Write this without AI help.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A9BDD3" w:sz="6"/>
              <w:left w:val="dashed" w:color="A9BDD3" w:sz="6"/>
              <w:bottom w:val="dashed" w:color="A9BDD3" w:sz="6"/>
              <w:right w:val="dashed" w:color="A9BDD3" w:sz="6"/>
            </w:tcBorders>
            <w:shd w:fill="F4F7FB" w:val="clear"/>
            <w:tcMar>
              <w:top w:type="dxa" w:w="140"/>
              <w:left w:type="dxa" w:w="160"/>
              <w:bottom w:type="dxa" w:w="140"/>
              <w:right w:type="dxa" w:w="160"/>
            </w:tcMar>
          </w:tcPr>
          <w:p>
            <w:pPr>
              <w:spacing w:after="100" w:line="240" w:lineRule="auto"/>
              <w:keepLines/>
              <w:keepNext/>
            </w:pPr>
            <w:r>
              <w:rPr>
                <w:rFonts w:ascii="Aptos" w:hAnsi="Aptos"/>
                <w:sz w:val="22"/>
                <w:color w:val="000000"/>
              </w:rPr>
              <w:t xml:space="preserve">Say someone asks, "What is the maximum time to respond to a code review request?"</w:t>
            </w:r>
          </w:p>
          <w:p>
            <w:pPr>
              <w:spacing w:after="100" w:line="240" w:lineRule="auto"/>
              <w:keepLines/>
            </w:pPr>
            <w:r>
              <w:rPr>
                <w:rFonts w:ascii="Aptos" w:hAnsi="Aptos"/>
                <w:sz w:val="22"/>
                <w:color w:val="000000"/>
              </w:rPr>
              <w:t xml:space="preserve">First, the question is turned into a vector using the same embedding model I used for the documents, BAAI/bge-small-en-v1.5. Then I run two searches on the same SQLite database: a vector search using cosine similarity and a keyword search using BM25. Each search returns its top 20 chunks.</w:t>
            </w:r>
          </w:p>
          <w:p>
            <w:pPr>
              <w:spacing w:after="100" w:line="240" w:lineRule="auto"/>
              <w:keepLines/>
            </w:pPr>
            <w:r>
              <w:rPr>
                <w:rFonts w:ascii="Aptos" w:hAnsi="Aptos"/>
                <w:sz w:val="22"/>
                <w:color w:val="000000"/>
              </w:rPr>
              <w:t xml:space="preserve">Before the keyword search, I clean up the question. I keep only word tokens, remove common words like "what" and "the", and put the remaining words in quotes. This also prevents special characters from interfering with the full-text search query. Filters like collection and document type are only accepted from a fixed list, because their column names are used directly in SQL.</w:t>
            </w:r>
          </w:p>
          <w:p>
            <w:pPr>
              <w:spacing w:after="100" w:line="240" w:lineRule="auto"/>
              <w:keepLines/>
            </w:pPr>
            <w:r>
              <w:rPr>
                <w:rFonts w:ascii="Aptos" w:hAnsi="Aptos"/>
                <w:sz w:val="22"/>
                <w:color w:val="000000"/>
              </w:rPr>
              <w:t xml:space="preserve">Next, I combine the two result lists using reciprocal rank fusion (RRF). Each chunk gets a score of 1/(60 + its rank) from each search where it appears. I add those scores together and keep the top 5 chunks. I use ranks because BM25 scores and cosine similarity scores aren't on the same scale.</w:t>
            </w:r>
          </w:p>
          <w:p>
            <w:pPr>
              <w:spacing w:after="100" w:line="240" w:lineRule="auto"/>
              <w:keepLines/>
            </w:pPr>
            <w:r>
              <w:rPr>
                <w:rFonts w:ascii="Aptos" w:hAnsi="Aptos"/>
                <w:sz w:val="22"/>
                <w:color w:val="000000"/>
              </w:rPr>
              <w:t xml:space="preserve">I actually added keyword search after my evaluation showed that vector search alone couldn't find the evidence for one question, q21, which was about secrets. The relevant evidence wasn't appearing even in the top 10 results. After combining both searches, Recall@5 improved from 0.96 to 1.0, and MRR@5 increased from 0.75 to about 0.87. In that original evaluation, the additional keyword search added less than a millisecond to the median search time.</w:t>
            </w:r>
          </w:p>
          <w:p>
            <w:pPr>
              <w:spacing w:after="100" w:line="240" w:lineRule="auto"/>
              <w:keepLines/>
            </w:pPr>
            <w:r>
              <w:rPr>
                <w:rFonts w:ascii="Aptos" w:hAnsi="Aptos"/>
                <w:sz w:val="22"/>
                <w:color w:val="000000"/>
              </w:rPr>
              <w:t xml:space="preserve">After retrieval, there's a similarity gate. I take the highest cosine similarity score from the vector search. If it's below 0.5, the system directly responds with "I don't know based on the provided documents." It doesn't call the LLM, so no generation tokens are used. I chose the cosine score rather than the fused RRF score because the RRF values are small and based on ranking positions, making them unsuitable for the same similarity threshold.</w:t>
            </w:r>
          </w:p>
          <w:p>
            <w:pPr>
              <w:spacing w:after="100" w:line="240" w:lineRule="auto"/>
              <w:keepLines/>
            </w:pPr>
            <w:r>
              <w:rPr>
                <w:rFonts w:ascii="Aptos" w:hAnsi="Aptos"/>
                <w:sz w:val="22"/>
                <w:color w:val="000000"/>
              </w:rPr>
              <w:t xml:space="preserve">For this question, the highest similarity was 0.817, so it passed the gate.</w:t>
            </w:r>
          </w:p>
          <w:p>
            <w:pPr>
              <w:spacing w:after="100" w:line="240" w:lineRule="auto"/>
              <w:keepLines/>
            </w:pPr>
            <w:r>
              <w:rPr>
                <w:rFonts w:ascii="Aptos" w:hAnsi="Aptos"/>
                <w:sz w:val="22"/>
                <w:color w:val="000000"/>
              </w:rPr>
              <w:t xml:space="preserve">The top 5 chunks are then added to the prompt, numbered from 1 to 5. Each passage includes its title, document reference, section, and page number where available. The LLM is instructed to answer using only those passages and include citation numbers after every sentence. If the answer isn't supported by the documents, it must return the exact "I don't know" response.</w:t>
            </w:r>
          </w:p>
          <w:p>
            <w:pPr>
              <w:spacing w:after="100" w:line="240" w:lineRule="auto"/>
              <w:keepLines/>
            </w:pPr>
            <w:r>
              <w:rPr>
                <w:rFonts w:ascii="Aptos" w:hAnsi="Aptos"/>
                <w:sz w:val="22"/>
                <w:color w:val="000000"/>
              </w:rPr>
              <w:t xml:space="preserve">For this particular query, the LLM used 2,336 input tokens and 66 output tokens. The model call took 778 ms.</w:t>
            </w:r>
          </w:p>
          <w:p>
            <w:pPr>
              <w:spacing w:after="100" w:line="240" w:lineRule="auto"/>
              <w:keepLines/>
            </w:pPr>
            <w:r>
              <w:rPr>
                <w:rFonts w:ascii="Aptos" w:hAnsi="Aptos"/>
                <w:sz w:val="22"/>
                <w:color w:val="000000"/>
              </w:rPr>
              <w:t xml:space="preserve">Finally, I check the citations returned by the model. The system reads citation markers such as [1] and [3] and maps them back to the retrieved chunks. If a citation number is outside the available range, it's recorded as invalid. If an answer contains no valid citations, it's flagged in the logs for review.</w:t>
            </w:r>
          </w:p>
          <w:p>
            <w:pPr>
              <w:spacing w:after="100" w:line="240" w:lineRule="auto"/>
              <w:keepLines/>
            </w:pPr>
            <w:r>
              <w:rPr>
                <w:rFonts w:ascii="Aptos" w:hAnsi="Aptos"/>
                <w:sz w:val="22"/>
                <w:color w:val="000000"/>
              </w:rPr>
              <w:t xml:space="preserve">The final answer said that one business day is the maximum time to respond to a code review request. It also mentioned that reviewers should wait for a natural break rather than interrupt focused work. The answer cited [1] and [3], both from the </w:t>
            </w:r>
            <w:r>
              <w:rPr>
                <w:rFonts w:ascii="Aptos" w:hAnsi="Aptos"/>
                <w:sz w:val="22"/>
                <w:color w:val="000000"/>
                <w:i/>
              </w:rPr>
              <w:t xml:space="preserve">Speed of Code Reviews</w:t>
            </w:r>
            <w:r>
              <w:rPr>
                <w:rFonts w:ascii="Aptos" w:hAnsi="Aptos"/>
                <w:sz w:val="22"/>
                <w:color w:val="000000"/>
              </w:rPr>
              <w:t xml:space="preserve"> document.</w:t>
            </w:r>
          </w:p>
          <w:p>
            <w:pPr>
              <w:spacing w:after="100" w:line="240" w:lineRule="auto"/>
              <w:keepLines/>
            </w:pPr>
            <w:r>
              <w:rPr>
                <w:rFonts w:ascii="Aptos" w:hAnsi="Aptos"/>
                <w:sz w:val="22"/>
                <w:color w:val="000000"/>
              </w:rPr>
              <w:t xml:space="preserve">The entire query took about 795 ms, including retrieval and generation. The system also logged the execution time, token usage, similarity score, and citation details.</w:t>
            </w:r>
          </w:p>
        </w:tc>
      </w:tr>
    </w:tbl>
    <w:p>
      <w:pPr>
        <w:spacing w:after="80"/>
      </w:pPr>
      <w:r>
        <w:rPr>
          <w:b w:val="false"/>
          <w:bCs w:val="false"/>
          <w:i w:val="false"/>
          <w:iCs w:val="false"/>
          <w:color w:val="1A1A1A"/>
          <w:sz w:val="22"/>
          <w:szCs w:val="22"/>
        </w:rPr>
        <w:t xml:space="preserve"/>
      </w:r>
    </w:p>
    <w:p>
      <w:pPr>
        <w:pStyle w:val="Heading3"/>
        <w:spacing w:after="70" w:before="140"/>
        <w:keepNext/>
      </w:pPr>
      <w:r>
        <w:rPr>
          <w:b/>
          <w:bCs/>
          <w:i w:val="false"/>
          <w:iCs w:val="false"/>
          <w:color w:val="1A1A1A"/>
          <w:sz w:val="22"/>
          <w:szCs w:val="22"/>
        </w:rPr>
        <w:t xml:space="preserve">Something that broke first time</w:t>
      </w:r>
    </w:p>
    <w:p>
      <w:pPr>
        <w:spacing w:after="140"/>
        <w:keepNext/>
      </w:pPr>
      <w:r>
        <w:rPr>
          <w:b w:val="false"/>
          <w:bCs w:val="false"/>
          <w:i/>
          <w:iCs/>
          <w:color w:val="7A7A7A"/>
          <w:sz w:val="21"/>
          <w:szCs w:val="21"/>
        </w:rPr>
        <w:t xml:space="preserve">One thing that did not work initially and exactly how you debugged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A9BDD3" w:sz="6"/>
              <w:left w:val="dashed" w:color="A9BDD3" w:sz="6"/>
              <w:bottom w:val="dashed" w:color="A9BDD3" w:sz="6"/>
              <w:right w:val="dashed" w:color="A9BDD3" w:sz="6"/>
            </w:tcBorders>
            <w:shd w:fill="F4F7FB" w:val="clear"/>
            <w:tcMar>
              <w:top w:type="dxa" w:w="140"/>
              <w:left w:type="dxa" w:w="160"/>
              <w:bottom w:type="dxa" w:w="140"/>
              <w:right w:type="dxa" w:w="160"/>
            </w:tcMar>
          </w:tcPr>
          <w:p>
            <w:pPr>
              <w:spacing w:after="100" w:line="240" w:lineRule="auto"/>
              <w:keepLines/>
            </w:pPr>
            <w:r>
              <w:rPr>
                <w:rFonts w:ascii="Aptos" w:hAnsi="Aptos"/>
                <w:sz w:val="22"/>
                <w:color w:val="000000"/>
              </w:rPr>
              <w:t xml:space="preserve">One issue I ran into was with the "I don't know" check. The code was running without errors, so initially I thought it was working correctly. I only noticed the problem when I ran the evaluation.</w:t>
            </w:r>
          </w:p>
          <w:p>
            <w:pPr>
              <w:spacing w:after="100" w:line="240" w:lineRule="auto"/>
              <w:keepLines/>
            </w:pPr>
            <w:r>
              <w:rPr>
                <w:rFonts w:ascii="Aptos" w:hAnsi="Aptos"/>
                <w:sz w:val="22"/>
                <w:color w:val="000000"/>
              </w:rPr>
              <w:t xml:space="preserve">At first, I had set the similarity threshold to 0.35. The idea was simple: if the closest document chunk had a similarity score below 0.35, the system should refuse to answer without calling the LLM.</w:t>
            </w:r>
          </w:p>
          <w:p>
            <w:pPr>
              <w:spacing w:after="100" w:line="240" w:lineRule="auto"/>
              <w:keepLines/>
            </w:pPr>
            <w:r>
              <w:rPr>
                <w:rFonts w:ascii="Aptos" w:hAnsi="Aptos"/>
                <w:sz w:val="22"/>
                <w:color w:val="000000"/>
              </w:rPr>
              <w:t xml:space="preserve">But during the initial evaluation, it didn't block any of the 5 unanswerable questions.</w:t>
            </w:r>
          </w:p>
          <w:p>
            <w:pPr>
              <w:spacing w:after="100" w:line="240" w:lineRule="auto"/>
              <w:keepLines/>
            </w:pPr>
            <w:r>
              <w:rPr>
                <w:rFonts w:ascii="Aptos" w:hAnsi="Aptos"/>
                <w:sz w:val="22"/>
                <w:color w:val="000000"/>
              </w:rPr>
              <w:t xml:space="preserve">For example, I tested the question "Who won the 2018 FIFA World Cup?" There was nothing about football in my documents, but the embedding model still gave it a similarity score of approximately 0.44. Since that was above 0.35, the question passed the gate and went to the LLM.</w:t>
            </w:r>
          </w:p>
          <w:p>
            <w:pPr>
              <w:spacing w:after="100" w:line="240" w:lineRule="auto"/>
              <w:keepLines/>
            </w:pPr>
            <w:r>
              <w:rPr>
                <w:rFonts w:ascii="Aptos" w:hAnsi="Aptos"/>
                <w:sz w:val="22"/>
                <w:color w:val="000000"/>
              </w:rPr>
              <w:t xml:space="preserve">The model still responded that it didn't know, because of the instructions in the prompt. So the final answer looked correct, but the system was making unnecessary LLM calls.</w:t>
            </w:r>
          </w:p>
          <w:p>
            <w:pPr>
              <w:spacing w:after="100" w:line="240" w:lineRule="auto"/>
              <w:keepLines/>
            </w:pPr>
            <w:r>
              <w:rPr>
                <w:rFonts w:ascii="Aptos" w:hAnsi="Aptos"/>
                <w:sz w:val="22"/>
                <w:color w:val="000000"/>
              </w:rPr>
              <w:t xml:space="preserve">When I checked the similarity scores, I found that the embedding model was giving relatively high scores even to questions that weren't answerable from the documents. All 25 answerable questions had scores of at least 0.682, which meant my original threshold of 0.35 was too low to be useful.</w:t>
            </w:r>
          </w:p>
          <w:p>
            <w:pPr>
              <w:spacing w:after="100" w:line="240" w:lineRule="auto"/>
              <w:keepLines/>
            </w:pPr>
            <w:r>
              <w:rPr>
                <w:rFonts w:ascii="Aptos" w:hAnsi="Aptos"/>
                <w:sz w:val="22"/>
                <w:color w:val="000000"/>
              </w:rPr>
              <w:t xml:space="preserve">There was another interesting problem with questions that were related to the documents but didn't have an answer in them.</w:t>
            </w:r>
          </w:p>
          <w:p>
            <w:pPr>
              <w:spacing w:after="100" w:line="240" w:lineRule="auto"/>
              <w:keepLines/>
            </w:pPr>
            <w:r>
              <w:rPr>
                <w:rFonts w:ascii="Aptos" w:hAnsi="Aptos"/>
                <w:sz w:val="22"/>
                <w:color w:val="000000"/>
              </w:rPr>
              <w:t xml:space="preserve">For example, "Which port does the Prometheus Pushgateway listen on by default?" was unanswerable using my documents, but its similarity score was 0.7222. At the same time, one answerable question had a score of 0.7221.</w:t>
            </w:r>
          </w:p>
          <w:p>
            <w:pPr>
              <w:spacing w:after="100" w:line="240" w:lineRule="auto"/>
              <w:keepLines/>
            </w:pPr>
            <w:r>
              <w:rPr>
                <w:rFonts w:ascii="Aptos" w:hAnsi="Aptos"/>
                <w:sz w:val="22"/>
                <w:color w:val="000000"/>
              </w:rPr>
              <w:t xml:space="preserve">That showed me that a single similarity threshold couldn't perfectly separate answerable and unanswerable questions.</w:t>
            </w:r>
          </w:p>
          <w:p>
            <w:pPr>
              <w:spacing w:after="100" w:line="240" w:lineRule="auto"/>
              <w:keepLines/>
            </w:pPr>
            <w:r>
              <w:rPr>
                <w:rFonts w:ascii="Aptos" w:hAnsi="Aptos"/>
                <w:sz w:val="22"/>
                <w:color w:val="000000"/>
              </w:rPr>
              <w:t xml:space="preserve">I then tested different threshold values using the evaluation set. I eventually chose 0.5.</w:t>
            </w:r>
          </w:p>
          <w:p>
            <w:pPr>
              <w:spacing w:after="100" w:line="240" w:lineRule="auto"/>
              <w:keepLines/>
            </w:pPr>
            <w:r>
              <w:rPr>
                <w:rFonts w:ascii="Aptos" w:hAnsi="Aptos"/>
                <w:sz w:val="22"/>
                <w:color w:val="000000"/>
              </w:rPr>
              <w:t xml:space="preserve">With this threshold, the system could reject clearly unrelated questions while still keeping all 25 answerable questions. I also tested 0.65, which rejected more unanswerable questions, but I didn't choose it because the lowest answerable similarity was only 0.682. With such a small evaluation set, I felt that setting the threshold so close to the answerable scores could cause problems with new questions.</w:t>
            </w:r>
          </w:p>
          <w:p>
            <w:pPr>
              <w:spacing w:after="100" w:line="240" w:lineRule="auto"/>
              <w:keepLines/>
            </w:pPr>
            <w:r>
              <w:rPr>
                <w:rFonts w:ascii="Aptos" w:hAnsi="Aptos"/>
                <w:sz w:val="22"/>
                <w:color w:val="000000"/>
              </w:rPr>
              <w:t xml:space="preserve">I left the more difficult cases to the LLM, with instructions to answer only when the retrieved passages actually contained the required information.</w:t>
            </w:r>
          </w:p>
          <w:p>
            <w:pPr>
              <w:spacing w:after="100" w:line="240" w:lineRule="auto"/>
              <w:keepLines/>
            </w:pPr>
            <w:r>
              <w:rPr>
                <w:rFonts w:ascii="Aptos" w:hAnsi="Aptos"/>
                <w:sz w:val="22"/>
                <w:color w:val="000000"/>
              </w:rPr>
              <w:t xml:space="preserve">After changing the threshold, all 5 unanswerable questions were correctly declined. One was rejected by the similarity gate without an LLM call, while the other four were declined by the model. None of the 25 answerable questions was incorrectly rejected.</w:t>
            </w:r>
          </w:p>
          <w:p>
            <w:pPr>
              <w:spacing w:after="100" w:line="240" w:lineRule="auto"/>
              <w:keepLines/>
            </w:pPr>
            <w:r>
              <w:rPr>
                <w:rFonts w:ascii="Aptos" w:hAnsi="Aptos"/>
                <w:sz w:val="22"/>
                <w:color w:val="000000"/>
              </w:rPr>
              <w:t xml:space="preserve">The main thing I learned was that I shouldn't choose a similarity threshold just because the number looks reasonable. Its behaviour depends on the embedding model and the documents being searched, so it needs to be tested using actual questions.</w:t>
            </w:r>
          </w:p>
          <w:p>
            <w:pPr>
              <w:spacing w:after="100" w:line="240" w:lineRule="auto"/>
              <w:keepLines/>
            </w:pPr>
            <w:r>
              <w:rPr>
                <w:rFonts w:ascii="Aptos" w:hAnsi="Aptos"/>
                <w:sz w:val="22"/>
                <w:color w:val="000000"/>
              </w:rPr>
              <w:t xml:space="preserve">I also learned that a system can produce the correct final answer while still having a problem internally. Without evaluating the similarity gate separately, I probably wouldn't have noticed the unnecessary LLM calls.</w:t>
            </w:r>
          </w:p>
        </w:tc>
      </w:tr>
    </w:tbl>
    <w:p>
      <w:pPr>
        <w:spacing w:after="80"/>
      </w:pPr>
      <w:r>
        <w:rPr>
          <w:b w:val="false"/>
          <w:bCs w:val="false"/>
          <w:i w:val="false"/>
          <w:iCs w:val="false"/>
          <w:color w:val="1A1A1A"/>
          <w:sz w:val="22"/>
          <w:szCs w:val="22"/>
        </w:rPr>
        <w:t xml:space="preserve"/>
      </w:r>
    </w:p>
    <w:p>
      <w:pPr>
        <w:pStyle w:val="Heading3"/>
        <w:spacing w:after="70" w:before="140"/>
        <w:keepNext/>
      </w:pPr>
      <w:r>
        <w:rPr>
          <w:b/>
          <w:bCs/>
          <w:i w:val="false"/>
          <w:iCs w:val="false"/>
          <w:color w:val="1A1A1A"/>
          <w:sz w:val="22"/>
          <w:szCs w:val="22"/>
        </w:rPr>
        <w:t xml:space="preserve">AI usage disclosure</w:t>
      </w:r>
    </w:p>
    <w:p>
      <w:pPr>
        <w:spacing w:after="140"/>
        <w:keepNext/>
      </w:pPr>
      <w:r>
        <w:rPr>
          <w:b w:val="false"/>
          <w:bCs w:val="false"/>
          <w:i/>
          <w:iCs/>
          <w:color w:val="7A7A7A"/>
          <w:sz w:val="21"/>
          <w:szCs w:val="21"/>
        </w:rPr>
        <w:t xml:space="preserve">Which AI tools you used and for what; which parts are entirely your 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A9BDD3" w:sz="6"/>
              <w:left w:val="dashed" w:color="A9BDD3" w:sz="6"/>
              <w:bottom w:val="dashed" w:color="A9BDD3" w:sz="6"/>
              <w:right w:val="dashed" w:color="A9BDD3" w:sz="6"/>
            </w:tcBorders>
            <w:shd w:fill="F4F7FB" w:val="clear"/>
            <w:tcMar>
              <w:top w:type="dxa" w:w="140"/>
              <w:left w:type="dxa" w:w="160"/>
              <w:bottom w:type="dxa" w:w="140"/>
              <w:right w:type="dxa" w:w="160"/>
            </w:tcMar>
          </w:tcPr>
          <w:p>
            <w:pPr>
              <w:spacing w:after="100" w:line="240" w:lineRule="auto"/>
              <w:keepLines/>
            </w:pPr>
            <w:r>
              <w:rPr>
                <w:rFonts w:ascii="Aptos" w:hAnsi="Aptos"/>
                <w:sz w:val="22"/>
                <w:color w:val="000000"/>
              </w:rPr>
              <w:t xml:space="preserve">I used AI mainly when I needed help understanding some technical concepts, fixing errors, and making my explanations clearer. I also provided my own pseudocode to guide how I wanted the solution to work, rather than depending completely on AI-generated suggestions.</w:t>
            </w:r>
          </w:p>
          <w:p>
            <w:pPr>
              <w:spacing w:after="100" w:line="240" w:lineRule="auto"/>
              <w:keepLines/>
            </w:pPr>
            <w:r>
              <w:rPr>
                <w:rFonts w:ascii="Aptos" w:hAnsi="Aptos"/>
                <w:sz w:val="22"/>
                <w:color w:val="000000"/>
              </w:rPr>
              <w:t xml:space="preserve">I tested the retrieval pipeline, compared different similarity thresholds, and checked the answers against the actual documents. I didn't just accept the AI output as it was. I went through the results myself and made the final decisions based on what the testing showed.</w:t>
            </w:r>
          </w:p>
          <w:p>
            <w:pPr>
              <w:spacing w:after="100" w:line="240" w:lineRule="auto"/>
              <w:keepLines/>
            </w:pPr>
            <w:r>
              <w:rPr>
                <w:rFonts w:ascii="Aptos" w:hAnsi="Aptos"/>
                <w:sz w:val="22"/>
                <w:color w:val="000000"/>
              </w:rPr>
              <w:t xml:space="preserve">I also used Codex to place these answers in the final submission and check the document formatting and consistency with the saved results.</w:t>
            </w:r>
          </w:p>
        </w:tc>
      </w:tr>
    </w:tbl>
    <w:p>
      <w:pPr>
        <w:spacing w:after="80"/>
      </w:pPr>
      <w:r>
        <w:rPr>
          <w:b w:val="false"/>
          <w:bCs w:val="false"/>
          <w:i w:val="false"/>
          <w:iCs w:val="false"/>
          <w:color w:val="1A1A1A"/>
          <w:sz w:val="22"/>
          <w:szCs w:val="22"/>
        </w:rPr>
        <w:t xml:space="preserve"/>
      </w:r>
    </w:p>
    <w:p>
      <w:pPr>
        <w:pageBreakBefore/>
      </w:pPr>
      <w:r>
        <w:rPr>
          <w:b w:val="false"/>
          <w:bCs w:val="false"/>
          <w:i w:val="false"/>
          <w:iCs w:val="false"/>
          <w:color w:val="1A1A1A"/>
          <w:sz w:val="22"/>
          <w:szCs w:val="22"/>
        </w:rPr>
        <w:t xml:space="preserve"/>
      </w:r>
    </w:p>
    <w:p>
      <w:pPr>
        <w:pStyle w:val="Heading1"/>
        <w:pBdr>
          <w:bottom w:val="single" w:color="2E6CA6" w:sz="8" w:space="4"/>
        </w:pBdr>
        <w:spacing w:after="160" w:before="240"/>
        <w:keepNext/>
      </w:pPr>
      <w:r>
        <w:rPr>
          <w:b/>
          <w:bCs/>
          <w:i w:val="false"/>
          <w:iCs w:val="false"/>
          <w:color w:val="1A1A1A"/>
          <w:sz w:val="30"/>
          <w:szCs w:val="30"/>
        </w:rPr>
        <w:t xml:space="preserve">Problem 2 — LLM-as-Judge Evaluation Pipeline</w:t>
      </w:r>
    </w:p>
    <w:p>
      <w:pPr>
        <w:spacing w:after="140"/>
        <w:keepNext/>
      </w:pPr>
      <w:r>
        <w:rPr>
          <w:b w:val="false"/>
          <w:bCs w:val="false"/>
          <w:i/>
          <w:iCs/>
          <w:color w:val="7A7A7A"/>
          <w:sz w:val="21"/>
          <w:szCs w:val="21"/>
        </w:rPr>
        <w:t xml:space="preserve">A judging pipeline that turns { input, system_prompt, model_output, expected_output?, criteria? } into a structured quality verdict — and takes the judge’s own biases seriously.</w:t>
      </w:r>
    </w:p>
    <w:p>
      <w:pPr>
        <w:pStyle w:val="Heading2"/>
        <w:spacing w:after="100" w:before="220"/>
        <w:keepNext/>
      </w:pPr>
      <w:r>
        <w:rPr>
          <w:b/>
          <w:bCs/>
          <w:i w:val="false"/>
          <w:iCs w:val="false"/>
          <w:color w:val="2E6CA6"/>
          <w:sz w:val="25"/>
          <w:szCs w:val="25"/>
        </w:rPr>
        <w:t xml:space="preserve">2.1  Architecture Diagram / Flowchart</w:t>
      </w:r>
    </w:p>
    <w:p>
      <w:pPr>
        <w:spacing w:after="140"/>
        <w:keepNext/>
      </w:pPr>
      <w:r>
        <w:rPr>
          <w:b w:val="false"/>
          <w:bCs w:val="false"/>
          <w:i/>
          <w:iCs/>
          <w:color w:val="7A7A7A"/>
          <w:sz w:val="21"/>
          <w:szCs w:val="21"/>
        </w:rPr>
        <w:t xml:space="preserve">Paste your own diagram. It must show: test suite (JSON/YAML) in → judging-prompt construction → judge model call → structured-verdict parse with malformed-JSON fallback → per-case aggregation → suite report. Mark where bias mitigations (e.g. A/B order swap) sit in the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A9BDD3" w:sz="6"/>
              <w:left w:val="dashed" w:color="A9BDD3" w:sz="6"/>
              <w:bottom w:val="dashed" w:color="A9BDD3" w:sz="6"/>
              <w:right w:val="dashed" w:color="A9BDD3" w:sz="6"/>
            </w:tcBorders>
            <w:shd w:fill="F4F7FB" w:val="clear"/>
            <w:tcMar>
              <w:top w:type="dxa" w:w="140"/>
              <w:left w:type="dxa" w:w="160"/>
              <w:bottom w:type="dxa" w:w="140"/>
              <w:right w:type="dxa" w:w="160"/>
            </w:tcMar>
          </w:tcPr>
          <w:p>
            <w:pPr>
              <w:jc w:val="center"/>
            </w:pPr>
            <w:r/>
            <w:r>
              <w:drawing>
                <wp:inline xmlns:a="http://schemas.openxmlformats.org/drawingml/2006/main" xmlns:pic="http://schemas.openxmlformats.org/drawingml/2006/picture">
                  <wp:extent cx="4343400" cy="5839040"/>
                  <wp:docPr id="4" name="Picture 4"/>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4343400" cy="5839040"/>
                          </a:xfrm>
                          <a:prstGeom prst="rect"/>
                        </pic:spPr>
                      </pic:pic>
                    </a:graphicData>
                  </a:graphic>
                </wp:inline>
              </w:drawing>
            </w:r>
          </w:p>
          <w:p>
            <w:pPr>
              <w:spacing w:after="40"/>
              <w:jc w:val="center"/>
            </w:pPr>
            <w:r>
              <w:rPr>
                <w:rFonts w:ascii="Aptos" w:hAnsi="Aptos"/>
                <w:b w:val="0"/>
                <w:color w:val="475569"/>
                <w:sz w:val="16"/>
              </w:rPr>
              <w:t>Pipeline flow with order-swap mitigation, strict verdict parsing/retry, audit log and suite aggregation.</w:t>
            </w:r>
          </w:p>
        </w:tc>
      </w:tr>
    </w:tbl>
    <w:p>
      <w:pPr>
        <w:spacing w:after="80"/>
      </w:pPr>
      <w:r>
        <w:rPr>
          <w:b w:val="false"/>
          <w:bCs w:val="false"/>
          <w:i w:val="false"/>
          <w:iCs w:val="false"/>
          <w:color w:val="1A1A1A"/>
          <w:sz w:val="22"/>
          <w:szCs w:val="22"/>
        </w:rPr>
        <w:t xml:space="preserve"/>
      </w:r>
    </w:p>
    <w:p>
      <w:pPr>
        <w:pStyle w:val="Heading2"/>
        <w:spacing w:after="100" w:before="220"/>
        <w:keepNext/>
      </w:pPr>
      <w:r>
        <w:rPr>
          <w:b/>
          <w:bCs/>
          <w:i w:val="false"/>
          <w:iCs w:val="false"/>
          <w:color w:val="2E6CA6"/>
          <w:sz w:val="25"/>
          <w:szCs w:val="25"/>
        </w:rPr>
        <w:t xml:space="preserve">2.2  Setup &amp; Run Instructions</w:t>
      </w:r>
    </w:p>
    <w:p>
      <w:pPr>
        <w:spacing w:after="140"/>
        <w:keepNext/>
      </w:pPr>
      <w:r>
        <w:rPr>
          <w:b w:val="false"/>
          <w:bCs w:val="false"/>
          <w:i/>
          <w:iCs/>
          <w:color w:val="7A7A7A"/>
          <w:sz w:val="21"/>
          <w:szCs w:val="21"/>
        </w:rPr>
        <w:t xml:space="preserve">Anyone on our team should clone and run this in under ~10 minutes. Give exact, copy-pasteable commands.</w:t>
      </w:r>
    </w:p>
    <w:p>
      <w:pPr>
        <w:spacing w:after="40"/>
      </w:pPr>
      <w:r>
        <w:rPr>
          <w:rFonts w:ascii="Aptos" w:hAnsi="Aptos"/>
          <w:b w:val="0"/>
          <w:sz w:val="19"/>
        </w:rPr>
        <w:t>Prerequisites  Python 3.10–3.13; network access to api.anthropic.com for live runs; an Anthropic API key entered interactively; no GPU.</w:t>
      </w:r>
    </w:p>
    <w:p>
      <w:pPr>
        <w:spacing w:after="40"/>
      </w:pPr>
      <w:r>
        <w:rPr>
          <w:rFonts w:ascii="Aptos" w:hAnsi="Aptos"/>
          <w:b w:val="0"/>
          <w:sz w:val="17"/>
        </w:rPr>
        <w:t>Environment variables  JUDGE_PROVIDER, JUDGE_MODEL, JUDGE_BASE_URL, JUDGE_API_KEY or ANTHROPIC_API_KEY, JUDGE_INPUT_USD_PER_M, JUDGE_OUTPUT_USD_PER_M, GENERATOR_PROVIDER, GENERATOR_MODEL, GENERATOR_BASE_URL, GENERATOR_API_KEY. Names only; no credentials are committed.</w:t>
      </w:r>
    </w:p>
    <w:p>
      <w:pPr>
        <w:spacing w:after="40" w:before="0"/>
      </w:pPr>
      <w:r>
        <w:rPr>
          <w:b/>
          <w:bCs/>
          <w:i w:val="false"/>
          <w:iCs w:val="false"/>
          <w:color w:val="1A1A1A"/>
          <w:sz w:val="22"/>
          <w:szCs w:val="22"/>
        </w:rPr>
        <w:t xml:space="preserve">Install: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A9BDD3" w:sz="6"/>
              <w:left w:val="dashed" w:color="A9BDD3" w:sz="6"/>
              <w:bottom w:val="dashed" w:color="A9BDD3" w:sz="6"/>
              <w:right w:val="dashed" w:color="A9BDD3" w:sz="6"/>
            </w:tcBorders>
            <w:shd w:fill="F4F6F8" w:val="clear"/>
            <w:tcMar>
              <w:top w:type="dxa" w:w="120"/>
              <w:left w:type="dxa" w:w="160"/>
              <w:bottom w:type="dxa" w:w="120"/>
              <w:right w:type="dxa" w:w="160"/>
            </w:tcMar>
          </w:tcPr>
          <w:p>
            <w:pPr>
              <w:spacing w:after="40"/>
            </w:pPr>
            <w:r>
              <w:rPr>
                <w:rFonts w:ascii="Consolas" w:hAnsi="Consolas"/>
                <w:b w:val="0"/>
                <w:sz w:val="16"/>
              </w:rPr>
              <w:t>python -m venv .venv</w:t>
              <w:br/>
              <w:t>.venv\Scripts\activate</w:t>
              <w:br/>
              <w:t>pip install -r requirements-dev.txt</w:t>
              <w:br/>
              <w:t>python -m judgepipe validate --suite judgepipe/data/suite.json</w:t>
              <w:br/>
              <w:t>pytest -q</w:t>
            </w:r>
          </w:p>
        </w:tc>
      </w:tr>
    </w:tbl>
    <w:p>
      <w:pPr>
        <w:spacing w:after="0" w:before="0" w:line="40" w:lineRule="exact"/>
      </w:pPr>
      <w:r>
        <w:rPr>
          <w:rFonts w:ascii="Aptos" w:hAnsi="Aptos"/>
          <w:b w:val="0"/>
          <w:sz w:val="4"/>
        </w:rPr>
      </w:r>
    </w:p>
    <w:p>
      <w:pPr>
        <w:spacing w:after="40" w:before="0"/>
      </w:pPr>
      <w:r>
        <w:rPr>
          <w:b/>
          <w:bCs/>
          <w:i w:val="false"/>
          <w:iCs w:val="false"/>
          <w:color w:val="1A1A1A"/>
          <w:sz w:val="22"/>
          <w:szCs w:val="22"/>
        </w:rPr>
        <w:t xml:space="preserve">Run a suite → produce a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A9BDD3" w:sz="6"/>
              <w:left w:val="dashed" w:color="A9BDD3" w:sz="6"/>
              <w:bottom w:val="dashed" w:color="A9BDD3" w:sz="6"/>
              <w:right w:val="dashed" w:color="A9BDD3" w:sz="6"/>
            </w:tcBorders>
            <w:shd w:fill="F4F6F8" w:val="clear"/>
            <w:tcMar>
              <w:top w:type="dxa" w:w="120"/>
              <w:left w:type="dxa" w:w="160"/>
              <w:bottom w:type="dxa" w:w="120"/>
              <w:right w:type="dxa" w:w="160"/>
            </w:tcMar>
          </w:tcPr>
          <w:p>
            <w:pPr>
              <w:spacing w:after="40"/>
            </w:pPr>
            <w:r>
              <w:rPr>
                <w:rFonts w:ascii="Consolas" w:hAnsi="Consolas"/>
                <w:b w:val="0"/>
                <w:sz w:val="16"/>
              </w:rPr>
              <w:t>$env:JUDGE_PROVIDER='anthropic'</w:t>
              <w:br/>
              <w:t>$env:JUDGE_MODEL='claude-sonnet-5-5'</w:t>
              <w:br/>
              <w:t>$env:GENERATOR_MODEL='reference-written'</w:t>
              <w:br/>
              <w:t>python -m judgepipe run --suite judgepipe/data/suite.json --out results/reproduction-problem2 --repeats 2 --include-baseline --allow-same-family --prompt-for-key</w:t>
            </w:r>
          </w:p>
        </w:tc>
      </w:tr>
    </w:tbl>
    <w:p>
      <w:pPr>
        <w:spacing w:after="0" w:before="0" w:line="40" w:lineRule="exact"/>
      </w:pPr>
      <w:r>
        <w:rPr>
          <w:rFonts w:ascii="Aptos" w:hAnsi="Aptos"/>
          <w:b w:val="0"/>
          <w:sz w:val="4"/>
        </w:rPr>
      </w:r>
    </w:p>
    <w:p>
      <w:pPr>
        <w:spacing w:after="40" w:before="0"/>
      </w:pPr>
      <w:r>
        <w:rPr>
          <w:b/>
          <w:bCs/>
          <w:i w:val="false"/>
          <w:iCs w:val="false"/>
          <w:color w:val="1A1A1A"/>
          <w:sz w:val="22"/>
          <w:szCs w:val="22"/>
        </w:rPr>
        <w:t xml:space="preserve">Run an A/B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A9BDD3" w:sz="6"/>
              <w:left w:val="dashed" w:color="A9BDD3" w:sz="6"/>
              <w:bottom w:val="dashed" w:color="A9BDD3" w:sz="6"/>
              <w:right w:val="dashed" w:color="A9BDD3" w:sz="6"/>
            </w:tcBorders>
            <w:shd w:fill="F4F6F8" w:val="clear"/>
            <w:tcMar>
              <w:top w:type="dxa" w:w="120"/>
              <w:left w:type="dxa" w:w="160"/>
              <w:bottom w:type="dxa" w:w="120"/>
              <w:right w:type="dxa" w:w="160"/>
            </w:tcMar>
          </w:tcPr>
          <w:p>
            <w:pPr>
              <w:spacing w:after="40"/>
            </w:pPr>
            <w:r>
              <w:rPr>
                <w:rFonts w:ascii="Consolas" w:hAnsi="Consolas"/>
                <w:b w:val="0"/>
                <w:sz w:val="16"/>
              </w:rPr>
              <w:t>python -m judgepipe run --suite judgepipe/data/suite.json --out results/reproduction-problem2 --repeats 2 --include-baseline --allow-same-family --prompt-for-key</w:t>
              <w:br/>
              <w:t># Choose a fresh --out each time. Both display orders are judged.</w:t>
            </w:r>
          </w:p>
        </w:tc>
      </w:tr>
    </w:tbl>
    <w:p>
      <w:pPr>
        <w:spacing w:after="0" w:before="0" w:line="40" w:lineRule="exact"/>
      </w:pPr>
      <w:r>
        <w:rPr>
          <w:rFonts w:ascii="Aptos" w:hAnsi="Aptos"/>
          <w:b w:val="0"/>
          <w:sz w:val="4"/>
        </w:rPr>
      </w:r>
    </w:p>
    <w:p>
      <w:pPr>
        <w:spacing w:after="40"/>
      </w:pPr>
      <w:r>
        <w:rPr>
          <w:rFonts w:ascii="Aptos" w:hAnsi="Aptos"/>
          <w:b w:val="0"/>
          <w:sz w:val="19"/>
        </w:rPr>
        <w:t>Judge &amp; generator configured independently?  Yes. Separate JUDGE_* and GENERATOR_* provider/model/base-URL/key settings; generated-missing cases are optional. This submitted suite uses reference-written fixtures, so generator-family attribution is intentionally marked unknown.</w:t>
      </w:r>
    </w:p>
    <w:p>
      <w:pPr>
        <w:spacing w:after="0" w:before="0" w:line="40" w:lineRule="exact"/>
      </w:pPr>
      <w:r>
        <w:rPr>
          <w:rFonts w:ascii="Aptos" w:hAnsi="Aptos"/>
          <w:b w:val="0"/>
          <w:sz w:val="4"/>
        </w:rPr>
      </w:r>
    </w:p>
    <w:p>
      <w:pPr>
        <w:pStyle w:val="Heading2"/>
        <w:spacing w:after="100" w:before="220"/>
        <w:keepNext/>
      </w:pPr>
      <w:r>
        <w:rPr>
          <w:b/>
          <w:bCs/>
          <w:i w:val="false"/>
          <w:iCs w:val="false"/>
          <w:color w:val="2E6CA6"/>
          <w:sz w:val="25"/>
          <w:szCs w:val="25"/>
        </w:rPr>
        <w:t xml:space="preserve">2.3  Evaluation Results</w:t>
      </w:r>
    </w:p>
    <w:p>
      <w:pPr>
        <w:pStyle w:val="Heading3"/>
        <w:keepNext/>
        <w:spacing w:after="70" w:before="140"/>
      </w:pPr>
      <w:r>
        <w:rPr>
          <w:b/>
          <w:bCs/>
          <w:i w:val="false"/>
          <w:iCs w:val="false"/>
          <w:color w:val="1A1A1A"/>
          <w:sz w:val="22"/>
          <w:szCs w:val="22"/>
        </w:rPr>
        <w:t xml:space="preserve">2.3.1  Judging mode &amp; rubric</w:t>
      </w:r>
    </w:p>
    <w:p>
      <w:pPr>
        <w:keepNext/>
        <w:spacing w:after="40"/>
      </w:pPr>
      <w:r>
        <w:rPr>
          <w:rFonts w:ascii="Aptos" w:hAnsi="Aptos"/>
          <w:b w:val="0"/>
          <w:sz w:val="19"/>
        </w:rPr>
        <w:t>Judging mode used  Anchored pointwise 0–4 scoring plus pairwise A-vs-B in both orders; reference-based when a reference is supplied and evidence-based/reference-free handling otherwise.</w:t>
      </w:r>
    </w:p>
    <w:p>
      <w:pPr>
        <w:keepNext/>
        <w:spacing w:after="140"/>
      </w:pPr>
      <w:r>
        <w:rPr>
          <w:b w:val="false"/>
          <w:bCs w:val="false"/>
          <w:i/>
          <w:iCs/>
          <w:color w:val="7A7A7A"/>
          <w:sz w:val="21"/>
          <w:szCs w:val="21"/>
        </w:rPr>
        <w:t xml:space="preserve">Your explicit rubric — not a bare number. Add or remove criteria rows as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560"/>
        <w:gridCol w:w="2000"/>
      </w:tblGrid>
      <w:tr>
        <w:tc>
          <w:tcPr>
            <w:tcW w:type="dxa" w:w="2800"/>
            <w:tcBorders>
              <w:top w:val="single" w:color="C2CEDB" w:sz="4"/>
              <w:left w:val="single" w:color="C2CEDB" w:sz="4"/>
              <w:bottom w:val="single" w:color="C2CEDB" w:sz="4"/>
              <w:right w:val="single" w:color="C2CEDB" w:sz="4"/>
            </w:tcBorders>
            <w:shd w:fill="D5E2EE" w:val="clear"/>
            <w:tcMar>
              <w:top w:type="dxa" w:w="80"/>
              <w:left w:type="dxa" w:w="120"/>
              <w:bottom w:type="dxa" w:w="80"/>
              <w:right w:type="dxa" w:w="120"/>
            </w:tcMar>
          </w:tcPr>
          <w:p>
            <w:pPr>
              <w:spacing w:after="40"/>
            </w:pPr>
            <w:r>
              <w:rPr>
                <w:rFonts w:ascii="Aptos" w:hAnsi="Aptos"/>
                <w:b w:val="0"/>
                <w:sz w:val="16"/>
              </w:rPr>
              <w:t>Criterion</w:t>
            </w:r>
          </w:p>
        </w:tc>
        <w:tc>
          <w:tcPr>
            <w:tcW w:type="dxa" w:w="4560"/>
            <w:tcBorders>
              <w:top w:val="single" w:color="C2CEDB" w:sz="4"/>
              <w:left w:val="single" w:color="C2CEDB" w:sz="4"/>
              <w:bottom w:val="single" w:color="C2CEDB" w:sz="4"/>
              <w:right w:val="single" w:color="C2CEDB" w:sz="4"/>
            </w:tcBorders>
            <w:shd w:fill="D5E2EE" w:val="clear"/>
            <w:tcMar>
              <w:top w:type="dxa" w:w="80"/>
              <w:left w:type="dxa" w:w="120"/>
              <w:bottom w:type="dxa" w:w="80"/>
              <w:right w:type="dxa" w:w="120"/>
            </w:tcMar>
          </w:tcPr>
          <w:p>
            <w:pPr>
              <w:spacing w:after="40"/>
            </w:pPr>
            <w:r>
              <w:rPr>
                <w:rFonts w:ascii="Aptos" w:hAnsi="Aptos"/>
                <w:b w:val="0"/>
                <w:sz w:val="16"/>
              </w:rPr>
              <w:t>Definition / score anchors</w:t>
            </w:r>
          </w:p>
        </w:tc>
        <w:tc>
          <w:tcPr>
            <w:tcW w:type="dxa" w:w="2000"/>
            <w:tcBorders>
              <w:top w:val="single" w:color="C2CEDB" w:sz="4"/>
              <w:left w:val="single" w:color="C2CEDB" w:sz="4"/>
              <w:bottom w:val="single" w:color="C2CEDB" w:sz="4"/>
              <w:right w:val="single" w:color="C2CEDB" w:sz="4"/>
            </w:tcBorders>
            <w:shd w:fill="D5E2EE" w:val="clear"/>
            <w:tcMar>
              <w:top w:type="dxa" w:w="80"/>
              <w:left w:type="dxa" w:w="120"/>
              <w:bottom w:type="dxa" w:w="80"/>
              <w:right w:type="dxa" w:w="120"/>
            </w:tcMar>
          </w:tcPr>
          <w:p>
            <w:pPr>
              <w:spacing w:after="40"/>
            </w:pPr>
            <w:r>
              <w:rPr>
                <w:rFonts w:ascii="Aptos" w:hAnsi="Aptos"/>
                <w:b w:val="0"/>
                <w:sz w:val="16"/>
              </w:rPr>
              <w:t>Weight</w:t>
            </w:r>
          </w:p>
        </w:tc>
      </w:tr>
      <w:tr>
        <w:tc>
          <w:tcPr>
            <w:tcW w:type="dxa" w:w="2800"/>
            <w:tcBorders>
              <w:top w:val="single" w:color="C2CEDB" w:sz="4"/>
              <w:left w:val="single" w:color="C2CEDB" w:sz="4"/>
              <w:bottom w:val="single" w:color="C2CEDB" w:sz="4"/>
              <w:right w:val="single" w:color="C2CEDB" w:sz="4"/>
            </w:tcBorders>
            <w:tcMar>
              <w:top w:type="dxa" w:w="80"/>
              <w:left w:type="dxa" w:w="120"/>
              <w:bottom w:type="dxa" w:w="80"/>
              <w:right w:type="dxa" w:w="120"/>
            </w:tcMar>
          </w:tcPr>
          <w:p>
            <w:pPr>
              <w:spacing w:after="40"/>
            </w:pPr>
            <w:r>
              <w:rPr>
                <w:rFonts w:ascii="Aptos" w:hAnsi="Aptos"/>
                <w:b w:val="0"/>
                <w:sz w:val="14"/>
              </w:rPr>
              <w:t>Correctness</w:t>
            </w:r>
          </w:p>
        </w:tc>
        <w:tc>
          <w:tcPr>
            <w:tcW w:type="dxa" w:w="4560"/>
            <w:tcBorders>
              <w:top w:val="single" w:color="C2CEDB" w:sz="4"/>
              <w:left w:val="single" w:color="C2CEDB" w:sz="4"/>
              <w:bottom w:val="single" w:color="C2CEDB" w:sz="4"/>
              <w:right w:val="single" w:color="C2CEDB" w:sz="4"/>
            </w:tcBorders>
            <w:tcMar>
              <w:top w:type="dxa" w:w="80"/>
              <w:left w:type="dxa" w:w="120"/>
              <w:bottom w:type="dxa" w:w="80"/>
              <w:right w:type="dxa" w:w="120"/>
            </w:tcMar>
          </w:tcPr>
          <w:p>
            <w:pPr>
              <w:spacing w:after="40"/>
            </w:pPr>
            <w:r>
              <w:rPr>
                <w:rFonts w:ascii="Aptos" w:hAnsi="Aptos"/>
                <w:b w:val="0"/>
                <w:sz w:val="14"/>
              </w:rPr>
              <w:t>0 contradictory/fabricated; 2 material errors; 4 fully accurate</w:t>
            </w:r>
          </w:p>
        </w:tc>
        <w:tc>
          <w:tcPr>
            <w:tcW w:type="dxa" w:w="2000"/>
            <w:tcBorders>
              <w:top w:val="single" w:color="C2CEDB" w:sz="4"/>
              <w:left w:val="single" w:color="C2CEDB" w:sz="4"/>
              <w:bottom w:val="single" w:color="C2CEDB" w:sz="4"/>
              <w:right w:val="single" w:color="C2CEDB" w:sz="4"/>
            </w:tcBorders>
            <w:tcMar>
              <w:top w:type="dxa" w:w="80"/>
              <w:left w:type="dxa" w:w="120"/>
              <w:bottom w:type="dxa" w:w="80"/>
              <w:right w:type="dxa" w:w="120"/>
            </w:tcMar>
          </w:tcPr>
          <w:p>
            <w:pPr>
              <w:spacing w:after="40"/>
            </w:pPr>
            <w:r>
              <w:rPr>
                <w:rFonts w:ascii="Aptos" w:hAnsi="Aptos"/>
                <w:b w:val="0"/>
                <w:sz w:val="14"/>
              </w:rPr>
              <w:t>30%</w:t>
            </w:r>
          </w:p>
        </w:tc>
      </w:tr>
      <w:tr>
        <w:tc>
          <w:tcPr>
            <w:tcW w:type="dxa" w:w="2800"/>
            <w:tcBorders>
              <w:top w:val="single" w:color="C2CEDB" w:sz="4"/>
              <w:left w:val="single" w:color="C2CEDB" w:sz="4"/>
              <w:bottom w:val="single" w:color="C2CEDB" w:sz="4"/>
              <w:right w:val="single" w:color="C2CEDB" w:sz="4"/>
            </w:tcBorders>
            <w:tcMar>
              <w:top w:type="dxa" w:w="80"/>
              <w:left w:type="dxa" w:w="120"/>
              <w:bottom w:type="dxa" w:w="80"/>
              <w:right w:type="dxa" w:w="120"/>
            </w:tcMar>
          </w:tcPr>
          <w:p>
            <w:pPr>
              <w:spacing w:after="40"/>
            </w:pPr>
            <w:r>
              <w:rPr>
                <w:rFonts w:ascii="Aptos" w:hAnsi="Aptos"/>
                <w:b w:val="0"/>
                <w:sz w:val="14"/>
              </w:rPr>
              <w:t>Faithfulness</w:t>
            </w:r>
          </w:p>
        </w:tc>
        <w:tc>
          <w:tcPr>
            <w:tcW w:type="dxa" w:w="4560"/>
            <w:tcBorders>
              <w:top w:val="single" w:color="C2CEDB" w:sz="4"/>
              <w:left w:val="single" w:color="C2CEDB" w:sz="4"/>
              <w:bottom w:val="single" w:color="C2CEDB" w:sz="4"/>
              <w:right w:val="single" w:color="C2CEDB" w:sz="4"/>
            </w:tcBorders>
            <w:tcMar>
              <w:top w:type="dxa" w:w="80"/>
              <w:left w:type="dxa" w:w="120"/>
              <w:bottom w:type="dxa" w:w="80"/>
              <w:right w:type="dxa" w:w="120"/>
            </w:tcMar>
          </w:tcPr>
          <w:p>
            <w:pPr>
              <w:spacing w:after="40"/>
            </w:pPr>
            <w:r>
              <w:rPr>
                <w:rFonts w:ascii="Aptos" w:hAnsi="Aptos"/>
                <w:b w:val="0"/>
                <w:sz w:val="14"/>
              </w:rPr>
              <w:t>0 unsupported; 2 mixed; 4 fully grounded in supplied context</w:t>
            </w:r>
          </w:p>
        </w:tc>
        <w:tc>
          <w:tcPr>
            <w:tcW w:type="dxa" w:w="2000"/>
            <w:tcBorders>
              <w:top w:val="single" w:color="C2CEDB" w:sz="4"/>
              <w:left w:val="single" w:color="C2CEDB" w:sz="4"/>
              <w:bottom w:val="single" w:color="C2CEDB" w:sz="4"/>
              <w:right w:val="single" w:color="C2CEDB" w:sz="4"/>
            </w:tcBorders>
            <w:tcMar>
              <w:top w:type="dxa" w:w="80"/>
              <w:left w:type="dxa" w:w="120"/>
              <w:bottom w:type="dxa" w:w="80"/>
              <w:right w:type="dxa" w:w="120"/>
            </w:tcMar>
          </w:tcPr>
          <w:p>
            <w:pPr>
              <w:spacing w:after="40"/>
            </w:pPr>
            <w:r>
              <w:rPr>
                <w:rFonts w:ascii="Aptos" w:hAnsi="Aptos"/>
                <w:b w:val="0"/>
                <w:sz w:val="14"/>
              </w:rPr>
              <w:t>25%</w:t>
            </w:r>
          </w:p>
        </w:tc>
      </w:tr>
      <w:tr>
        <w:tc>
          <w:tcPr>
            <w:tcW w:type="dxa" w:w="2800"/>
            <w:tcBorders>
              <w:top w:val="single" w:color="C2CEDB" w:sz="4"/>
              <w:left w:val="single" w:color="C2CEDB" w:sz="4"/>
              <w:bottom w:val="single" w:color="C2CEDB" w:sz="4"/>
              <w:right w:val="single" w:color="C2CEDB" w:sz="4"/>
            </w:tcBorders>
            <w:tcMar>
              <w:top w:type="dxa" w:w="80"/>
              <w:left w:type="dxa" w:w="120"/>
              <w:bottom w:type="dxa" w:w="80"/>
              <w:right w:type="dxa" w:w="120"/>
            </w:tcMar>
          </w:tcPr>
          <w:p>
            <w:pPr>
              <w:spacing w:after="40"/>
            </w:pPr>
            <w:r>
              <w:rPr>
                <w:rFonts w:ascii="Aptos" w:hAnsi="Aptos"/>
                <w:b w:val="0"/>
                <w:sz w:val="14"/>
              </w:rPr>
              <w:t>Completeness</w:t>
            </w:r>
          </w:p>
        </w:tc>
        <w:tc>
          <w:tcPr>
            <w:tcW w:type="dxa" w:w="4560"/>
            <w:tcBorders>
              <w:top w:val="single" w:color="C2CEDB" w:sz="4"/>
              <w:left w:val="single" w:color="C2CEDB" w:sz="4"/>
              <w:bottom w:val="single" w:color="C2CEDB" w:sz="4"/>
              <w:right w:val="single" w:color="C2CEDB" w:sz="4"/>
            </w:tcBorders>
            <w:tcMar>
              <w:top w:type="dxa" w:w="80"/>
              <w:left w:type="dxa" w:w="120"/>
              <w:bottom w:type="dxa" w:w="80"/>
              <w:right w:type="dxa" w:w="120"/>
            </w:tcMar>
          </w:tcPr>
          <w:p>
            <w:pPr>
              <w:spacing w:after="40"/>
            </w:pPr>
            <w:r>
              <w:rPr>
                <w:rFonts w:ascii="Aptos" w:hAnsi="Aptos"/>
                <w:b w:val="0"/>
                <w:sz w:val="14"/>
              </w:rPr>
              <w:t>0 misses task; 2 partial; 4 complete and concise</w:t>
            </w:r>
          </w:p>
        </w:tc>
        <w:tc>
          <w:tcPr>
            <w:tcW w:type="dxa" w:w="2000"/>
            <w:tcBorders>
              <w:top w:val="single" w:color="C2CEDB" w:sz="4"/>
              <w:left w:val="single" w:color="C2CEDB" w:sz="4"/>
              <w:bottom w:val="single" w:color="C2CEDB" w:sz="4"/>
              <w:right w:val="single" w:color="C2CEDB" w:sz="4"/>
            </w:tcBorders>
            <w:tcMar>
              <w:top w:type="dxa" w:w="80"/>
              <w:left w:type="dxa" w:w="120"/>
              <w:bottom w:type="dxa" w:w="80"/>
              <w:right w:type="dxa" w:w="120"/>
            </w:tcMar>
          </w:tcPr>
          <w:p>
            <w:pPr>
              <w:spacing w:after="40"/>
            </w:pPr>
            <w:r>
              <w:rPr>
                <w:rFonts w:ascii="Aptos" w:hAnsi="Aptos"/>
                <w:b w:val="0"/>
                <w:sz w:val="14"/>
              </w:rPr>
              <w:t>20%</w:t>
            </w:r>
          </w:p>
        </w:tc>
      </w:tr>
      <w:tr>
        <w:tc>
          <w:tcPr>
            <w:tcW w:type="dxa" w:w="2800"/>
            <w:tcBorders>
              <w:top w:val="single" w:color="C2CEDB" w:sz="4"/>
              <w:left w:val="single" w:color="C2CEDB" w:sz="4"/>
              <w:bottom w:val="single" w:color="C2CEDB" w:sz="4"/>
              <w:right w:val="single" w:color="C2CEDB" w:sz="4"/>
            </w:tcBorders>
            <w:tcMar>
              <w:top w:type="dxa" w:w="80"/>
              <w:left w:type="dxa" w:w="120"/>
              <w:bottom w:type="dxa" w:w="80"/>
              <w:right w:type="dxa" w:w="120"/>
            </w:tcMar>
          </w:tcPr>
          <w:p>
            <w:pPr>
              <w:spacing w:after="40"/>
            </w:pPr>
            <w:r>
              <w:rPr>
                <w:rFonts w:ascii="Aptos" w:hAnsi="Aptos"/>
                <w:b w:val="0"/>
                <w:sz w:val="14"/>
              </w:rPr>
              <w:t>Instruction-following</w:t>
            </w:r>
          </w:p>
        </w:tc>
        <w:tc>
          <w:tcPr>
            <w:tcW w:type="dxa" w:w="4560"/>
            <w:tcBorders>
              <w:top w:val="single" w:color="C2CEDB" w:sz="4"/>
              <w:left w:val="single" w:color="C2CEDB" w:sz="4"/>
              <w:bottom w:val="single" w:color="C2CEDB" w:sz="4"/>
              <w:right w:val="single" w:color="C2CEDB" w:sz="4"/>
            </w:tcBorders>
            <w:tcMar>
              <w:top w:type="dxa" w:w="80"/>
              <w:left w:type="dxa" w:w="120"/>
              <w:bottom w:type="dxa" w:w="80"/>
              <w:right w:type="dxa" w:w="120"/>
            </w:tcMar>
          </w:tcPr>
          <w:p>
            <w:pPr>
              <w:spacing w:after="40"/>
            </w:pPr>
            <w:r>
              <w:rPr>
                <w:rFonts w:ascii="Aptos" w:hAnsi="Aptos"/>
                <w:b w:val="0"/>
                <w:sz w:val="14"/>
              </w:rPr>
              <w:t>0 ignores instructions; 2 some violations; 4 follows fully</w:t>
            </w:r>
          </w:p>
        </w:tc>
        <w:tc>
          <w:tcPr>
            <w:tcW w:type="dxa" w:w="2000"/>
            <w:tcBorders>
              <w:top w:val="single" w:color="C2CEDB" w:sz="4"/>
              <w:left w:val="single" w:color="C2CEDB" w:sz="4"/>
              <w:bottom w:val="single" w:color="C2CEDB" w:sz="4"/>
              <w:right w:val="single" w:color="C2CEDB" w:sz="4"/>
            </w:tcBorders>
            <w:tcMar>
              <w:top w:type="dxa" w:w="80"/>
              <w:left w:type="dxa" w:w="120"/>
              <w:bottom w:type="dxa" w:w="80"/>
              <w:right w:type="dxa" w:w="120"/>
            </w:tcMar>
          </w:tcPr>
          <w:p>
            <w:pPr>
              <w:spacing w:after="40"/>
            </w:pPr>
            <w:r>
              <w:rPr>
                <w:rFonts w:ascii="Aptos" w:hAnsi="Aptos"/>
                <w:b w:val="0"/>
                <w:sz w:val="14"/>
              </w:rPr>
              <w:t>15%</w:t>
            </w:r>
          </w:p>
        </w:tc>
      </w:tr>
      <w:tr>
        <w:tc>
          <w:tcPr>
            <w:tcW w:type="dxa" w:w="2800"/>
            <w:tcBorders>
              <w:top w:val="single" w:color="C2CEDB" w:sz="4"/>
              <w:left w:val="single" w:color="C2CEDB" w:sz="4"/>
              <w:bottom w:val="single" w:color="C2CEDB" w:sz="4"/>
              <w:right w:val="single" w:color="C2CEDB" w:sz="4"/>
            </w:tcBorders>
            <w:tcMar>
              <w:top w:type="dxa" w:w="80"/>
              <w:left w:type="dxa" w:w="120"/>
              <w:bottom w:type="dxa" w:w="80"/>
              <w:right w:type="dxa" w:w="120"/>
            </w:tcMar>
          </w:tcPr>
          <w:p>
            <w:pPr>
              <w:spacing w:after="40"/>
            </w:pPr>
            <w:r>
              <w:rPr>
                <w:rFonts w:ascii="Aptos" w:hAnsi="Aptos"/>
                <w:b w:val="0"/>
                <w:sz w:val="14"/>
              </w:rPr>
              <w:t>Tone / safety</w:t>
            </w:r>
          </w:p>
        </w:tc>
        <w:tc>
          <w:tcPr>
            <w:tcW w:type="dxa" w:w="4560"/>
            <w:tcBorders>
              <w:top w:val="single" w:color="C2CEDB" w:sz="4"/>
              <w:left w:val="single" w:color="C2CEDB" w:sz="4"/>
              <w:bottom w:val="single" w:color="C2CEDB" w:sz="4"/>
              <w:right w:val="single" w:color="C2CEDB" w:sz="4"/>
            </w:tcBorders>
            <w:tcMar>
              <w:top w:type="dxa" w:w="80"/>
              <w:left w:type="dxa" w:w="120"/>
              <w:bottom w:type="dxa" w:w="80"/>
              <w:right w:type="dxa" w:w="120"/>
            </w:tcMar>
          </w:tcPr>
          <w:p>
            <w:pPr>
              <w:spacing w:after="40"/>
            </w:pPr>
            <w:r>
              <w:rPr>
                <w:rFonts w:ascii="Aptos" w:hAnsi="Aptos"/>
                <w:b w:val="0"/>
                <w:sz w:val="14"/>
              </w:rPr>
              <w:t>0 unsafe/inappropriate; 2 noticeable issue; 4 clear and appropriate</w:t>
            </w:r>
          </w:p>
        </w:tc>
        <w:tc>
          <w:tcPr>
            <w:tcW w:type="dxa" w:w="2000"/>
            <w:tcBorders>
              <w:top w:val="single" w:color="C2CEDB" w:sz="4"/>
              <w:left w:val="single" w:color="C2CEDB" w:sz="4"/>
              <w:bottom w:val="single" w:color="C2CEDB" w:sz="4"/>
              <w:right w:val="single" w:color="C2CEDB" w:sz="4"/>
            </w:tcBorders>
            <w:tcMar>
              <w:top w:type="dxa" w:w="80"/>
              <w:left w:type="dxa" w:w="120"/>
              <w:bottom w:type="dxa" w:w="80"/>
              <w:right w:type="dxa" w:w="120"/>
            </w:tcMar>
          </w:tcPr>
          <w:p>
            <w:pPr>
              <w:spacing w:after="40"/>
            </w:pPr>
            <w:r>
              <w:rPr>
                <w:rFonts w:ascii="Aptos" w:hAnsi="Aptos"/>
                <w:b w:val="0"/>
                <w:sz w:val="14"/>
              </w:rPr>
              <w:t>10%</w:t>
            </w:r>
          </w:p>
        </w:tc>
      </w:tr>
    </w:tbl>
    <w:p>
      <w:pPr>
        <w:spacing w:after="80"/>
      </w:pPr>
      <w:r>
        <w:rPr>
          <w:b w:val="false"/>
          <w:bCs w:val="false"/>
          <w:i w:val="false"/>
          <w:iCs w:val="false"/>
          <w:color w:val="1A1A1A"/>
          <w:sz w:val="22"/>
          <w:szCs w:val="22"/>
        </w:rPr>
        <w:t xml:space="preserve"/>
      </w:r>
    </w:p>
    <w:p>
      <w:pPr>
        <w:pStyle w:val="Heading3"/>
        <w:keepNext/>
        <w:spacing w:after="70" w:before="140"/>
      </w:pPr>
      <w:r>
        <w:rPr>
          <w:b/>
          <w:bCs/>
          <w:i w:val="false"/>
          <w:iCs w:val="false"/>
          <w:color w:val="1A1A1A"/>
          <w:sz w:val="22"/>
          <w:szCs w:val="22"/>
        </w:rPr>
        <w:t xml:space="preserve">2.3.2  Bias handling</w:t>
      </w:r>
    </w:p>
    <w:p>
      <w:pPr>
        <w:keepNext/>
        <w:spacing w:after="140"/>
      </w:pPr>
      <w:r>
        <w:rPr>
          <w:b w:val="false"/>
          <w:bCs w:val="false"/>
          <w:i/>
          <w:iCs/>
          <w:color w:val="7A7A7A"/>
          <w:sz w:val="21"/>
          <w:szCs w:val="21"/>
        </w:rPr>
        <w:t xml:space="preserve">For each bias: name it, show the mitigation in your code, and give the measured before → after result. This is the heart of the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760"/>
        <w:gridCol w:w="3300"/>
      </w:tblGrid>
      <w:tr>
        <w:tc>
          <w:tcPr>
            <w:tcW w:type="dxa" w:w="2300"/>
            <w:tcBorders>
              <w:top w:val="single" w:color="C2CEDB" w:sz="4"/>
              <w:left w:val="single" w:color="C2CEDB" w:sz="4"/>
              <w:bottom w:val="single" w:color="C2CEDB" w:sz="4"/>
              <w:right w:val="single" w:color="C2CEDB" w:sz="4"/>
            </w:tcBorders>
            <w:shd w:fill="D5E2EE" w:val="clear"/>
            <w:tcMar>
              <w:top w:type="dxa" w:w="80"/>
              <w:left w:type="dxa" w:w="120"/>
              <w:bottom w:type="dxa" w:w="80"/>
              <w:right w:type="dxa" w:w="120"/>
            </w:tcMar>
          </w:tcPr>
          <w:p>
            <w:r>
              <w:rPr>
                <w:b/>
                <w:bCs/>
                <w:i w:val="false"/>
                <w:iCs w:val="false"/>
                <w:color w:val="1A1A1A"/>
                <w:sz w:val="20"/>
                <w:szCs w:val="20"/>
              </w:rPr>
              <w:t xml:space="preserve">Bias</w:t>
            </w:r>
          </w:p>
        </w:tc>
        <w:tc>
          <w:tcPr>
            <w:tcW w:type="dxa" w:w="3760"/>
            <w:tcBorders>
              <w:top w:val="single" w:color="C2CEDB" w:sz="4"/>
              <w:left w:val="single" w:color="C2CEDB" w:sz="4"/>
              <w:bottom w:val="single" w:color="C2CEDB" w:sz="4"/>
              <w:right w:val="single" w:color="C2CEDB" w:sz="4"/>
            </w:tcBorders>
            <w:shd w:fill="D5E2EE" w:val="clear"/>
            <w:tcMar>
              <w:top w:type="dxa" w:w="80"/>
              <w:left w:type="dxa" w:w="120"/>
              <w:bottom w:type="dxa" w:w="80"/>
              <w:right w:type="dxa" w:w="120"/>
            </w:tcMar>
          </w:tcPr>
          <w:p>
            <w:r>
              <w:rPr>
                <w:b/>
                <w:bCs/>
                <w:i w:val="false"/>
                <w:iCs w:val="false"/>
                <w:color w:val="1A1A1A"/>
                <w:sz w:val="20"/>
                <w:szCs w:val="20"/>
              </w:rPr>
              <w:t xml:space="preserve">Mitigation implemented (in code)</w:t>
            </w:r>
          </w:p>
        </w:tc>
        <w:tc>
          <w:tcPr>
            <w:tcW w:type="dxa" w:w="3300"/>
            <w:tcBorders>
              <w:top w:val="single" w:color="C2CEDB" w:sz="4"/>
              <w:left w:val="single" w:color="C2CEDB" w:sz="4"/>
              <w:bottom w:val="single" w:color="C2CEDB" w:sz="4"/>
              <w:right w:val="single" w:color="C2CEDB" w:sz="4"/>
            </w:tcBorders>
            <w:shd w:fill="D5E2EE" w:val="clear"/>
            <w:tcMar>
              <w:top w:type="dxa" w:w="80"/>
              <w:left w:type="dxa" w:w="120"/>
              <w:bottom w:type="dxa" w:w="80"/>
              <w:right w:type="dxa" w:w="120"/>
            </w:tcMar>
          </w:tcPr>
          <w:p>
            <w:r>
              <w:rPr>
                <w:b/>
                <w:bCs/>
                <w:i w:val="false"/>
                <w:iCs w:val="false"/>
                <w:color w:val="1A1A1A"/>
                <w:sz w:val="20"/>
                <w:szCs w:val="20"/>
              </w:rPr>
              <w:t xml:space="preserve">Metric &amp; result (before → after)</w:t>
            </w:r>
          </w:p>
        </w:tc>
      </w:tr>
      <w:tr>
        <w:tc>
          <w:tcPr>
            <w:tcW w:type="dxa" w:w="2300"/>
            <w:tcBorders>
              <w:top w:val="single" w:color="C2CEDB" w:sz="4"/>
              <w:left w:val="single" w:color="C2CEDB" w:sz="4"/>
              <w:bottom w:val="single" w:color="C2CEDB" w:sz="4"/>
              <w:right w:val="single" w:color="C2CEDB" w:sz="4"/>
            </w:tcBorders>
            <w:tcMar>
              <w:top w:type="dxa" w:w="80"/>
              <w:left w:type="dxa" w:w="120"/>
              <w:bottom w:type="dxa" w:w="80"/>
              <w:right w:type="dxa" w:w="120"/>
            </w:tcMar>
          </w:tcPr>
          <w:p>
            <w:pPr>
              <w:spacing w:after="40"/>
            </w:pPr>
            <w:r>
              <w:rPr>
                <w:rFonts w:ascii="Aptos" w:hAnsi="Aptos"/>
                <w:b w:val="0"/>
                <w:sz w:val="15"/>
              </w:rPr>
              <w:t>Position (A/B order)</w:t>
            </w:r>
          </w:p>
        </w:tc>
        <w:tc>
          <w:tcPr>
            <w:tcW w:type="dxa" w:w="3760"/>
            <w:tcBorders>
              <w:top w:val="single" w:color="C2CEDB" w:sz="4"/>
              <w:left w:val="single" w:color="C2CEDB" w:sz="4"/>
              <w:bottom w:val="single" w:color="C2CEDB" w:sz="4"/>
              <w:right w:val="single" w:color="C2CEDB" w:sz="4"/>
            </w:tcBorders>
            <w:tcMar>
              <w:top w:type="dxa" w:w="80"/>
              <w:left w:type="dxa" w:w="120"/>
              <w:bottom w:type="dxa" w:w="80"/>
              <w:right w:type="dxa" w:w="120"/>
            </w:tcMar>
          </w:tcPr>
          <w:p>
            <w:pPr>
              <w:spacing w:after="40"/>
            </w:pPr>
            <w:r>
              <w:rPr>
                <w:rFonts w:ascii="Aptos" w:hAnsi="Aptos"/>
                <w:b w:val="0"/>
                <w:sz w:val="15"/>
              </w:rPr>
              <w:t>Judge both A/B and B/A; canonicalize IDs; disagreement becomes a tie</w:t>
            </w:r>
          </w:p>
        </w:tc>
        <w:tc>
          <w:tcPr>
            <w:tcW w:type="dxa" w:w="3300"/>
            <w:tcBorders>
              <w:top w:val="single" w:color="C2CEDB" w:sz="4"/>
              <w:left w:val="single" w:color="C2CEDB" w:sz="4"/>
              <w:bottom w:val="single" w:color="C2CEDB" w:sz="4"/>
              <w:right w:val="single" w:color="C2CEDB" w:sz="4"/>
            </w:tcBorders>
            <w:tcMar>
              <w:top w:type="dxa" w:w="80"/>
              <w:left w:type="dxa" w:w="120"/>
              <w:bottom w:type="dxa" w:w="80"/>
              <w:right w:type="dxa" w:w="120"/>
            </w:tcMar>
          </w:tcPr>
          <w:p>
            <w:pPr>
              <w:spacing w:after="40"/>
            </w:pPr>
            <w:r>
              <w:rPr>
                <w:rFonts w:ascii="Aptos" w:hAnsi="Aptos"/>
                <w:b w:val="0"/>
                <w:sz w:val="15"/>
              </w:rPr>
              <w:t>Historical swaps: 6.25% → 0.00%. Fresh balanced run includes all repeats and unchanged-order variability; see addendum.</w:t>
            </w:r>
          </w:p>
        </w:tc>
      </w:tr>
      <w:tr>
        <w:tc>
          <w:tcPr>
            <w:tcW w:type="dxa" w:w="2300"/>
            <w:tcBorders>
              <w:top w:val="single" w:color="C2CEDB" w:sz="4"/>
              <w:left w:val="single" w:color="C2CEDB" w:sz="4"/>
              <w:bottom w:val="single" w:color="C2CEDB" w:sz="4"/>
              <w:right w:val="single" w:color="C2CEDB" w:sz="4"/>
            </w:tcBorders>
            <w:tcMar>
              <w:top w:type="dxa" w:w="80"/>
              <w:left w:type="dxa" w:w="120"/>
              <w:bottom w:type="dxa" w:w="80"/>
              <w:right w:type="dxa" w:w="120"/>
            </w:tcMar>
          </w:tcPr>
          <w:p>
            <w:pPr>
              <w:spacing w:after="40"/>
            </w:pPr>
            <w:r>
              <w:rPr>
                <w:rFonts w:ascii="Aptos" w:hAnsi="Aptos"/>
                <w:b w:val="0"/>
                <w:sz w:val="15"/>
              </w:rPr>
              <w:t>Verbosity / length</w:t>
            </w:r>
          </w:p>
        </w:tc>
        <w:tc>
          <w:tcPr>
            <w:tcW w:type="dxa" w:w="3760"/>
            <w:tcBorders>
              <w:top w:val="single" w:color="C2CEDB" w:sz="4"/>
              <w:left w:val="single" w:color="C2CEDB" w:sz="4"/>
              <w:bottom w:val="single" w:color="C2CEDB" w:sz="4"/>
              <w:right w:val="single" w:color="C2CEDB" w:sz="4"/>
            </w:tcBorders>
            <w:tcMar>
              <w:top w:type="dxa" w:w="80"/>
              <w:left w:type="dxa" w:w="120"/>
              <w:bottom w:type="dxa" w:w="80"/>
              <w:right w:type="dxa" w:w="120"/>
            </w:tcMar>
          </w:tcPr>
          <w:p>
            <w:pPr>
              <w:spacing w:after="40"/>
            </w:pPr>
            <w:r>
              <w:rPr>
                <w:rFonts w:ascii="Aptos" w:hAnsi="Aptos"/>
                <w:b w:val="0"/>
                <w:sz w:val="15"/>
              </w:rPr>
              <w:t>Rubric says unsupported length is penalized; 3 padded-answer probes</w:t>
            </w:r>
          </w:p>
        </w:tc>
        <w:tc>
          <w:tcPr>
            <w:tcW w:type="dxa" w:w="3300"/>
            <w:tcBorders>
              <w:top w:val="single" w:color="C2CEDB" w:sz="4"/>
              <w:left w:val="single" w:color="C2CEDB" w:sz="4"/>
              <w:bottom w:val="single" w:color="C2CEDB" w:sz="4"/>
              <w:right w:val="single" w:color="C2CEDB" w:sz="4"/>
            </w:tcBorders>
            <w:tcMar>
              <w:top w:type="dxa" w:w="80"/>
              <w:left w:type="dxa" w:w="120"/>
              <w:bottom w:type="dxa" w:w="80"/>
              <w:right w:type="dxa" w:w="120"/>
            </w:tcMar>
          </w:tcPr>
          <w:p>
            <w:pPr>
              <w:spacing w:after="40"/>
            </w:pPr>
            <w:r>
              <w:rPr>
                <w:rFonts w:ascii="Aptos" w:hAnsi="Aptos"/>
                <w:b w:val="0"/>
                <w:sz w:val="15"/>
              </w:rPr>
              <w:t>Wrong padded wins 0.00% → 0.00%</w:t>
            </w:r>
          </w:p>
        </w:tc>
      </w:tr>
      <w:tr>
        <w:tc>
          <w:tcPr>
            <w:tcW w:type="dxa" w:w="2300"/>
            <w:tcBorders>
              <w:top w:val="single" w:color="C2CEDB" w:sz="4"/>
              <w:left w:val="single" w:color="C2CEDB" w:sz="4"/>
              <w:bottom w:val="single" w:color="C2CEDB" w:sz="4"/>
              <w:right w:val="single" w:color="C2CEDB" w:sz="4"/>
            </w:tcBorders>
            <w:tcMar>
              <w:top w:type="dxa" w:w="80"/>
              <w:left w:type="dxa" w:w="120"/>
              <w:bottom w:type="dxa" w:w="80"/>
              <w:right w:type="dxa" w:w="120"/>
            </w:tcMar>
          </w:tcPr>
          <w:p>
            <w:pPr>
              <w:spacing w:after="40"/>
            </w:pPr>
            <w:r>
              <w:rPr>
                <w:rFonts w:ascii="Aptos" w:hAnsi="Aptos"/>
                <w:b w:val="0"/>
                <w:sz w:val="15"/>
              </w:rPr>
              <w:t>Self-enhancement</w:t>
            </w:r>
          </w:p>
        </w:tc>
        <w:tc>
          <w:tcPr>
            <w:tcW w:type="dxa" w:w="3760"/>
            <w:tcBorders>
              <w:top w:val="single" w:color="C2CEDB" w:sz="4"/>
              <w:left w:val="single" w:color="C2CEDB" w:sz="4"/>
              <w:bottom w:val="single" w:color="C2CEDB" w:sz="4"/>
              <w:right w:val="single" w:color="C2CEDB" w:sz="4"/>
            </w:tcBorders>
            <w:tcMar>
              <w:top w:type="dxa" w:w="80"/>
              <w:left w:type="dxa" w:w="120"/>
              <w:bottom w:type="dxa" w:w="80"/>
              <w:right w:type="dxa" w:w="120"/>
            </w:tcMar>
          </w:tcPr>
          <w:p>
            <w:pPr>
              <w:spacing w:after="40"/>
            </w:pPr>
            <w:r>
              <w:rPr>
                <w:rFonts w:ascii="Aptos" w:hAnsi="Aptos"/>
                <w:b w:val="0"/>
                <w:sz w:val="15"/>
              </w:rPr>
              <w:t>Separate judge/generator configs and family-provenance check</w:t>
            </w:r>
          </w:p>
        </w:tc>
        <w:tc>
          <w:tcPr>
            <w:tcW w:type="dxa" w:w="3300"/>
            <w:tcBorders>
              <w:top w:val="single" w:color="C2CEDB" w:sz="4"/>
              <w:left w:val="single" w:color="C2CEDB" w:sz="4"/>
              <w:bottom w:val="single" w:color="C2CEDB" w:sz="4"/>
              <w:right w:val="single" w:color="C2CEDB" w:sz="4"/>
            </w:tcBorders>
            <w:tcMar>
              <w:top w:type="dxa" w:w="80"/>
              <w:left w:type="dxa" w:w="120"/>
              <w:bottom w:type="dxa" w:w="80"/>
              <w:right w:type="dxa" w:w="120"/>
            </w:tcMar>
          </w:tcPr>
          <w:p>
            <w:pPr>
              <w:spacing w:after="40"/>
            </w:pPr>
            <w:r>
              <w:rPr>
                <w:rFonts w:ascii="Aptos" w:hAnsi="Aptos"/>
                <w:b w:val="0"/>
                <w:sz w:val="15"/>
              </w:rPr>
              <w:t>Not empirically attributable: fixtures are reference-written, generator family unknown</w:t>
            </w:r>
          </w:p>
        </w:tc>
      </w:tr>
      <w:tr>
        <w:tc>
          <w:tcPr>
            <w:tcW w:type="dxa" w:w="2300"/>
            <w:tcBorders>
              <w:top w:val="single" w:color="C2CEDB" w:sz="4"/>
              <w:left w:val="single" w:color="C2CEDB" w:sz="4"/>
              <w:bottom w:val="single" w:color="C2CEDB" w:sz="4"/>
              <w:right w:val="single" w:color="C2CEDB" w:sz="4"/>
            </w:tcBorders>
            <w:tcMar>
              <w:top w:type="dxa" w:w="80"/>
              <w:left w:type="dxa" w:w="120"/>
              <w:bottom w:type="dxa" w:w="80"/>
              <w:right w:type="dxa" w:w="120"/>
            </w:tcMar>
          </w:tcPr>
          <w:p>
            <w:pPr>
              <w:spacing w:after="40"/>
            </w:pPr>
            <w:r>
              <w:rPr>
                <w:rFonts w:ascii="Aptos" w:hAnsi="Aptos"/>
                <w:b w:val="0"/>
                <w:sz w:val="15"/>
              </w:rPr>
              <w:t>Sycophancy / style</w:t>
            </w:r>
          </w:p>
        </w:tc>
        <w:tc>
          <w:tcPr>
            <w:tcW w:type="dxa" w:w="3760"/>
            <w:tcBorders>
              <w:top w:val="single" w:color="C2CEDB" w:sz="4"/>
              <w:left w:val="single" w:color="C2CEDB" w:sz="4"/>
              <w:bottom w:val="single" w:color="C2CEDB" w:sz="4"/>
              <w:right w:val="single" w:color="C2CEDB" w:sz="4"/>
            </w:tcBorders>
            <w:tcMar>
              <w:top w:type="dxa" w:w="80"/>
              <w:left w:type="dxa" w:w="120"/>
              <w:bottom w:type="dxa" w:w="80"/>
              <w:right w:type="dxa" w:w="120"/>
            </w:tcMar>
          </w:tcPr>
          <w:p>
            <w:pPr>
              <w:spacing w:after="40"/>
            </w:pPr>
            <w:r>
              <w:rPr>
                <w:rFonts w:ascii="Aptos" w:hAnsi="Aptos"/>
                <w:b w:val="0"/>
                <w:sz w:val="15"/>
              </w:rPr>
              <w:t>Per-criterion grounding plus 5 confidently-wrong probes</w:t>
            </w:r>
          </w:p>
        </w:tc>
        <w:tc>
          <w:tcPr>
            <w:tcW w:type="dxa" w:w="3300"/>
            <w:tcBorders>
              <w:top w:val="single" w:color="C2CEDB" w:sz="4"/>
              <w:left w:val="single" w:color="C2CEDB" w:sz="4"/>
              <w:bottom w:val="single" w:color="C2CEDB" w:sz="4"/>
              <w:right w:val="single" w:color="C2CEDB" w:sz="4"/>
            </w:tcBorders>
            <w:tcMar>
              <w:top w:type="dxa" w:w="80"/>
              <w:left w:type="dxa" w:w="120"/>
              <w:bottom w:type="dxa" w:w="80"/>
              <w:right w:type="dxa" w:w="120"/>
            </w:tcMar>
          </w:tcPr>
          <w:p>
            <w:pPr>
              <w:spacing w:after="40"/>
            </w:pPr>
            <w:r>
              <w:rPr>
                <w:rFonts w:ascii="Aptos" w:hAnsi="Aptos"/>
                <w:b w:val="0"/>
                <w:sz w:val="15"/>
              </w:rPr>
              <w:t>Wrong confident wins 0.00% → 0.00%</w:t>
            </w:r>
          </w:p>
        </w:tc>
      </w:tr>
      <w:tr>
        <w:tc>
          <w:tcPr>
            <w:tcW w:type="dxa" w:w="2300"/>
            <w:tcBorders>
              <w:top w:val="single" w:color="C2CEDB" w:sz="4"/>
              <w:left w:val="single" w:color="C2CEDB" w:sz="4"/>
              <w:bottom w:val="single" w:color="C2CEDB" w:sz="4"/>
              <w:right w:val="single" w:color="C2CEDB" w:sz="4"/>
            </w:tcBorders>
            <w:tcMar>
              <w:top w:type="dxa" w:w="80"/>
              <w:left w:type="dxa" w:w="120"/>
              <w:bottom w:type="dxa" w:w="80"/>
              <w:right w:type="dxa" w:w="120"/>
            </w:tcMar>
          </w:tcPr>
          <w:p>
            <w:pPr>
              <w:spacing w:after="40"/>
            </w:pPr>
            <w:r>
              <w:rPr>
                <w:rFonts w:ascii="Aptos" w:hAnsi="Aptos"/>
                <w:b w:val="0"/>
                <w:sz w:val="15"/>
              </w:rPr>
              <w:t>Score clustering</w:t>
            </w:r>
          </w:p>
        </w:tc>
        <w:tc>
          <w:tcPr>
            <w:tcW w:type="dxa" w:w="3760"/>
            <w:tcBorders>
              <w:top w:val="single" w:color="C2CEDB" w:sz="4"/>
              <w:left w:val="single" w:color="C2CEDB" w:sz="4"/>
              <w:bottom w:val="single" w:color="C2CEDB" w:sz="4"/>
              <w:right w:val="single" w:color="C2CEDB" w:sz="4"/>
            </w:tcBorders>
            <w:tcMar>
              <w:top w:type="dxa" w:w="80"/>
              <w:left w:type="dxa" w:w="120"/>
              <w:bottom w:type="dxa" w:w="80"/>
              <w:right w:type="dxa" w:w="120"/>
            </w:tcMar>
          </w:tcPr>
          <w:p>
            <w:pPr>
              <w:spacing w:after="40"/>
            </w:pPr>
            <w:r>
              <w:rPr>
                <w:rFonts w:ascii="Aptos" w:hAnsi="Aptos"/>
                <w:b w:val="0"/>
                <w:sz w:val="15"/>
              </w:rPr>
              <w:t>Explicit 0/2/4 anchors plus pairwise comparison</w:t>
            </w:r>
          </w:p>
        </w:tc>
        <w:tc>
          <w:tcPr>
            <w:tcW w:type="dxa" w:w="3300"/>
            <w:tcBorders>
              <w:top w:val="single" w:color="C2CEDB" w:sz="4"/>
              <w:left w:val="single" w:color="C2CEDB" w:sz="4"/>
              <w:bottom w:val="single" w:color="C2CEDB" w:sz="4"/>
              <w:right w:val="single" w:color="C2CEDB" w:sz="4"/>
            </w:tcBorders>
            <w:tcMar>
              <w:top w:type="dxa" w:w="80"/>
              <w:left w:type="dxa" w:w="120"/>
              <w:bottom w:type="dxa" w:w="80"/>
              <w:right w:type="dxa" w:w="120"/>
            </w:tcMar>
          </w:tcPr>
          <w:p>
            <w:pPr>
              <w:spacing w:after="40"/>
            </w:pPr>
            <w:r>
              <w:rPr>
                <w:rFonts w:ascii="Aptos" w:hAnsi="Aptos"/>
                <w:b w:val="0"/>
                <w:sz w:val="15"/>
              </w:rPr>
              <w:t>Historical 0.1355 → 0.3671 is confounded by missing task information. Fresh equal-information spread is reported in the new balanced report.</w:t>
            </w:r>
          </w:p>
        </w:tc>
      </w:tr>
    </w:tbl>
    <w:p>
      <w:pPr>
        <w:keepNext/>
        <w:spacing w:after="80"/>
      </w:pPr>
      <w:r>
        <w:rPr>
          <w:b w:val="false"/>
          <w:bCs w:val="false"/>
          <w:i w:val="false"/>
          <w:iCs w:val="false"/>
          <w:color w:val="1A1A1A"/>
          <w:sz w:val="22"/>
          <w:szCs w:val="22"/>
        </w:rPr>
        <w:t xml:space="preserve"/>
      </w:r>
    </w:p>
    <w:p>
      <w:pPr>
        <w:pStyle w:val="Heading3"/>
        <w:spacing w:after="70" w:before="140"/>
        <w:keepNext/>
      </w:pPr>
      <w:r>
        <w:rPr>
          <w:b/>
          <w:bCs/>
          <w:i w:val="false"/>
          <w:iCs w:val="false"/>
          <w:color w:val="1A1A1A"/>
          <w:sz w:val="22"/>
          <w:szCs w:val="22"/>
        </w:rPr>
        <w:t xml:space="preserve">2.3.3  Judge validation</w:t>
      </w:r>
    </w:p>
    <w:p>
      <w:pPr>
        <w:spacing w:after="140"/>
        <w:keepNext/>
      </w:pPr>
      <w:r>
        <w:rPr>
          <w:b w:val="false"/>
          <w:bCs w:val="false"/>
          <w:i/>
          <w:iCs/>
          <w:color w:val="7A7A7A"/>
          <w:sz w:val="21"/>
          <w:szCs w:val="21"/>
        </w:rPr>
        <w:t xml:space="preserve">At least one of these, with evidence — not claims.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4000"/>
      </w:tblGrid>
      <w:tr>
        <w:tc>
          <w:tcPr>
            <w:tcW w:type="dxa" w:w="3360"/>
            <w:tcBorders>
              <w:top w:val="single" w:color="C2CEDB" w:sz="4"/>
              <w:left w:val="single" w:color="C2CEDB" w:sz="4"/>
              <w:bottom w:val="single" w:color="C2CEDB" w:sz="4"/>
              <w:right w:val="single" w:color="C2CEDB" w:sz="4"/>
            </w:tcBorders>
            <w:shd w:fill="D5E2EE" w:val="clear"/>
            <w:tcMar>
              <w:top w:type="dxa" w:w="80"/>
              <w:left w:type="dxa" w:w="120"/>
              <w:bottom w:type="dxa" w:w="80"/>
              <w:right w:type="dxa" w:w="120"/>
            </w:tcMar>
          </w:tcPr>
          <w:p>
            <w:r>
              <w:rPr>
                <w:b/>
                <w:bCs/>
                <w:i w:val="false"/>
                <w:iCs w:val="false"/>
                <w:color w:val="1A1A1A"/>
                <w:sz w:val="20"/>
                <w:szCs w:val="20"/>
              </w:rPr>
              <w:t xml:space="preserve">Method</w:t>
            </w:r>
          </w:p>
        </w:tc>
        <w:tc>
          <w:tcPr>
            <w:tcW w:type="dxa" w:w="2000"/>
            <w:tcBorders>
              <w:top w:val="single" w:color="C2CEDB" w:sz="4"/>
              <w:left w:val="single" w:color="C2CEDB" w:sz="4"/>
              <w:bottom w:val="single" w:color="C2CEDB" w:sz="4"/>
              <w:right w:val="single" w:color="C2CEDB" w:sz="4"/>
            </w:tcBorders>
            <w:shd w:fill="D5E2EE" w:val="clear"/>
            <w:tcMar>
              <w:top w:type="dxa" w:w="80"/>
              <w:left w:type="dxa" w:w="120"/>
              <w:bottom w:type="dxa" w:w="80"/>
              <w:right w:type="dxa" w:w="120"/>
            </w:tcMar>
          </w:tcPr>
          <w:p>
            <w:r>
              <w:rPr>
                <w:b/>
                <w:bCs/>
                <w:i w:val="false"/>
                <w:iCs w:val="false"/>
                <w:color w:val="1A1A1A"/>
                <w:sz w:val="20"/>
                <w:szCs w:val="20"/>
              </w:rPr>
              <w:t xml:space="preserve">Result</w:t>
            </w:r>
          </w:p>
        </w:tc>
        <w:tc>
          <w:tcPr>
            <w:tcW w:type="dxa" w:w="4000"/>
            <w:tcBorders>
              <w:top w:val="single" w:color="C2CEDB" w:sz="4"/>
              <w:left w:val="single" w:color="C2CEDB" w:sz="4"/>
              <w:bottom w:val="single" w:color="C2CEDB" w:sz="4"/>
              <w:right w:val="single" w:color="C2CEDB" w:sz="4"/>
            </w:tcBorders>
            <w:shd w:fill="D5E2EE" w:val="clear"/>
            <w:tcMar>
              <w:top w:type="dxa" w:w="80"/>
              <w:left w:type="dxa" w:w="120"/>
              <w:bottom w:type="dxa" w:w="80"/>
              <w:right w:type="dxa" w:w="120"/>
            </w:tcMar>
          </w:tcPr>
          <w:p>
            <w:r>
              <w:rPr>
                <w:b/>
                <w:bCs/>
                <w:i w:val="false"/>
                <w:iCs w:val="false"/>
                <w:color w:val="1A1A1A"/>
                <w:sz w:val="20"/>
                <w:szCs w:val="20"/>
              </w:rPr>
              <w:t xml:space="preserve">Notes</w:t>
            </w:r>
          </w:p>
        </w:tc>
      </w:tr>
      <w:tr>
        <w:tc>
          <w:tcPr>
            <w:tcW w:type="dxa" w:w="3360"/>
            <w:tcBorders>
              <w:top w:val="single" w:color="C2CEDB" w:sz="4"/>
              <w:left w:val="single" w:color="C2CEDB" w:sz="4"/>
              <w:bottom w:val="single" w:color="C2CEDB" w:sz="4"/>
              <w:right w:val="single" w:color="C2CEDB" w:sz="4"/>
            </w:tcBorders>
            <w:tcMar>
              <w:top w:type="dxa" w:w="80"/>
              <w:left w:type="dxa" w:w="120"/>
              <w:bottom w:type="dxa" w:w="80"/>
              <w:right w:type="dxa" w:w="120"/>
            </w:tcMar>
          </w:tcPr>
          <w:p>
            <w:pPr>
              <w:spacing w:after="40"/>
            </w:pPr>
            <w:r>
              <w:rPr>
                <w:rFonts w:ascii="Aptos" w:hAnsi="Aptos"/>
                <w:b w:val="0"/>
                <w:sz w:val="16"/>
              </w:rPr>
              <w:t>Agreement with reference labels</w:t>
            </w:r>
          </w:p>
        </w:tc>
        <w:tc>
          <w:tcPr>
            <w:tcW w:type="dxa" w:w="2000"/>
            <w:tcBorders>
              <w:top w:val="single" w:color="C2CEDB" w:sz="4"/>
              <w:left w:val="single" w:color="C2CEDB" w:sz="4"/>
              <w:bottom w:val="single" w:color="C2CEDB" w:sz="4"/>
              <w:right w:val="single" w:color="C2CEDB" w:sz="4"/>
            </w:tcBorders>
            <w:tcMar>
              <w:top w:type="dxa" w:w="80"/>
              <w:left w:type="dxa" w:w="120"/>
              <w:bottom w:type="dxa" w:w="80"/>
              <w:right w:type="dxa" w:w="120"/>
            </w:tcMar>
          </w:tcPr>
          <w:p>
            <w:pPr>
              <w:spacing w:after="40"/>
            </w:pPr>
            <w:r>
              <w:rPr>
                <w:rFonts w:ascii="Aptos" w:hAnsi="Aptos"/>
                <w:b w:val="0"/>
                <w:sz w:val="18"/>
              </w:rPr>
              <w:t>100.0%</w:t>
            </w:r>
          </w:p>
        </w:tc>
        <w:tc>
          <w:tcPr>
            <w:tcW w:type="dxa" w:w="4000"/>
            <w:tcBorders>
              <w:top w:val="single" w:color="C2CEDB" w:sz="4"/>
              <w:left w:val="single" w:color="C2CEDB" w:sz="4"/>
              <w:bottom w:val="single" w:color="C2CEDB" w:sz="4"/>
              <w:right w:val="single" w:color="C2CEDB" w:sz="4"/>
            </w:tcBorders>
            <w:tcMar>
              <w:top w:type="dxa" w:w="80"/>
              <w:left w:type="dxa" w:w="120"/>
              <w:bottom w:type="dxa" w:w="80"/>
              <w:right w:type="dxa" w:w="120"/>
            </w:tcMar>
          </w:tcPr>
          <w:p>
            <w:pPr>
              <w:spacing w:after="40"/>
            </w:pPr>
            <w:r>
              <w:rPr>
                <w:rFonts w:ascii="Aptos" w:hAnsi="Aptos"/>
                <w:b w:val="0"/>
                <w:sz w:val="16"/>
              </w:rPr>
              <w:t>Fresh balanced diagnostic: 7 A, 7 B, 2 ties; 16 reference-derived labels</w:t>
            </w:r>
          </w:p>
        </w:tc>
      </w:tr>
      <w:tr>
        <w:tc>
          <w:tcPr>
            <w:tcW w:type="dxa" w:w="3360"/>
            <w:tcBorders>
              <w:top w:val="single" w:color="C2CEDB" w:sz="4"/>
              <w:left w:val="single" w:color="C2CEDB" w:sz="4"/>
              <w:bottom w:val="single" w:color="C2CEDB" w:sz="4"/>
              <w:right w:val="single" w:color="C2CEDB" w:sz="4"/>
            </w:tcBorders>
            <w:tcMar>
              <w:top w:type="dxa" w:w="80"/>
              <w:left w:type="dxa" w:w="120"/>
              <w:bottom w:type="dxa" w:w="80"/>
              <w:right w:type="dxa" w:w="120"/>
            </w:tcMar>
          </w:tcPr>
          <w:p>
            <w:pPr>
              <w:spacing w:after="40"/>
            </w:pPr>
            <w:r>
              <w:rPr>
                <w:rFonts w:ascii="Aptos" w:hAnsi="Aptos"/>
                <w:b w:val="0"/>
                <w:sz w:val="16"/>
              </w:rPr>
              <w:t>Cohen’s kappa / correlation</w:t>
            </w:r>
          </w:p>
        </w:tc>
        <w:tc>
          <w:tcPr>
            <w:tcW w:type="dxa" w:w="2000"/>
            <w:tcBorders>
              <w:top w:val="single" w:color="C2CEDB" w:sz="4"/>
              <w:left w:val="single" w:color="C2CEDB" w:sz="4"/>
              <w:bottom w:val="single" w:color="C2CEDB" w:sz="4"/>
              <w:right w:val="single" w:color="C2CEDB" w:sz="4"/>
            </w:tcBorders>
            <w:tcMar>
              <w:top w:type="dxa" w:w="80"/>
              <w:left w:type="dxa" w:w="120"/>
              <w:bottom w:type="dxa" w:w="80"/>
              <w:right w:type="dxa" w:w="120"/>
            </w:tcMar>
          </w:tcPr>
          <w:p>
            <w:pPr>
              <w:spacing w:after="40"/>
            </w:pPr>
            <w:r>
              <w:rPr>
                <w:rFonts w:ascii="Aptos" w:hAnsi="Aptos"/>
                <w:b w:val="0"/>
                <w:sz w:val="18"/>
              </w:rPr>
              <w:t>κ = 1.0</w:t>
            </w:r>
          </w:p>
        </w:tc>
        <w:tc>
          <w:tcPr>
            <w:tcW w:type="dxa" w:w="4000"/>
            <w:tcBorders>
              <w:top w:val="single" w:color="C2CEDB" w:sz="4"/>
              <w:left w:val="single" w:color="C2CEDB" w:sz="4"/>
              <w:bottom w:val="single" w:color="C2CEDB" w:sz="4"/>
              <w:right w:val="single" w:color="C2CEDB" w:sz="4"/>
            </w:tcBorders>
            <w:tcMar>
              <w:top w:type="dxa" w:w="80"/>
              <w:left w:type="dxa" w:w="120"/>
              <w:bottom w:type="dxa" w:w="80"/>
              <w:right w:type="dxa" w:w="120"/>
            </w:tcMar>
          </w:tcPr>
          <w:p>
            <w:pPr>
              <w:spacing w:after="40"/>
            </w:pPr>
            <w:r>
              <w:rPr>
                <w:rFonts w:ascii="Aptos" w:hAnsi="Aptos"/>
                <w:b w:val="0"/>
                <w:sz w:val="16"/>
              </w:rPr>
              <w:t>Fresh balanced diagnostic; not blind human labels</w:t>
            </w:r>
          </w:p>
        </w:tc>
      </w:tr>
      <w:tr>
        <w:tc>
          <w:tcPr>
            <w:tcW w:type="dxa" w:w="3360"/>
            <w:tcBorders>
              <w:top w:val="single" w:color="C2CEDB" w:sz="4"/>
              <w:left w:val="single" w:color="C2CEDB" w:sz="4"/>
              <w:bottom w:val="single" w:color="C2CEDB" w:sz="4"/>
              <w:right w:val="single" w:color="C2CEDB" w:sz="4"/>
            </w:tcBorders>
            <w:tcMar>
              <w:top w:type="dxa" w:w="80"/>
              <w:left w:type="dxa" w:w="120"/>
              <w:bottom w:type="dxa" w:w="80"/>
              <w:right w:type="dxa" w:w="120"/>
            </w:tcMar>
          </w:tcPr>
          <w:p>
            <w:pPr>
              <w:spacing w:after="40"/>
            </w:pPr>
            <w:r>
              <w:rPr>
                <w:rFonts w:ascii="Aptos" w:hAnsi="Aptos"/>
                <w:b w:val="0"/>
                <w:sz w:val="16"/>
              </w:rPr>
              <w:t>Test-retest flip rate</w:t>
            </w:r>
          </w:p>
        </w:tc>
        <w:tc>
          <w:tcPr>
            <w:tcW w:type="dxa" w:w="2000"/>
            <w:tcBorders>
              <w:top w:val="single" w:color="C2CEDB" w:sz="4"/>
              <w:left w:val="single" w:color="C2CEDB" w:sz="4"/>
              <w:bottom w:val="single" w:color="C2CEDB" w:sz="4"/>
              <w:right w:val="single" w:color="C2CEDB" w:sz="4"/>
            </w:tcBorders>
            <w:tcMar>
              <w:top w:type="dxa" w:w="80"/>
              <w:left w:type="dxa" w:w="120"/>
              <w:bottom w:type="dxa" w:w="80"/>
              <w:right w:type="dxa" w:w="120"/>
            </w:tcMar>
          </w:tcPr>
          <w:p>
            <w:pPr>
              <w:spacing w:after="40"/>
            </w:pPr>
            <w:r>
              <w:rPr>
                <w:rFonts w:ascii="Aptos" w:hAnsi="Aptos"/>
                <w:b w:val="0"/>
                <w:sz w:val="18"/>
              </w:rPr>
              <w:t>0.0%</w:t>
            </w:r>
          </w:p>
        </w:tc>
        <w:tc>
          <w:tcPr>
            <w:tcW w:type="dxa" w:w="4000"/>
            <w:tcBorders>
              <w:top w:val="single" w:color="C2CEDB" w:sz="4"/>
              <w:left w:val="single" w:color="C2CEDB" w:sz="4"/>
              <w:bottom w:val="single" w:color="C2CEDB" w:sz="4"/>
              <w:right w:val="single" w:color="C2CEDB" w:sz="4"/>
            </w:tcBorders>
            <w:tcMar>
              <w:top w:type="dxa" w:w="80"/>
              <w:left w:type="dxa" w:w="120"/>
              <w:bottom w:type="dxa" w:w="80"/>
              <w:right w:type="dxa" w:w="120"/>
            </w:tcMar>
          </w:tcPr>
          <w:p>
            <w:pPr>
              <w:spacing w:after="40"/>
            </w:pPr>
            <w:r>
              <w:rPr>
                <w:rFonts w:ascii="Aptos" w:hAnsi="Aptos"/>
                <w:b w:val="0"/>
                <w:sz w:val="16"/>
              </w:rPr>
              <w:t>Fresh repeated-pair consensus; raw same-order changes are reported separately</w:t>
            </w:r>
          </w:p>
        </w:tc>
      </w:tr>
      <w:tr>
        <w:tc>
          <w:tcPr>
            <w:tcW w:type="dxa" w:w="3360"/>
            <w:tcBorders>
              <w:top w:val="single" w:color="C2CEDB" w:sz="4"/>
              <w:left w:val="single" w:color="C2CEDB" w:sz="4"/>
              <w:bottom w:val="single" w:color="C2CEDB" w:sz="4"/>
              <w:right w:val="single" w:color="C2CEDB" w:sz="4"/>
            </w:tcBorders>
            <w:tcMar>
              <w:top w:type="dxa" w:w="80"/>
              <w:left w:type="dxa" w:w="120"/>
              <w:bottom w:type="dxa" w:w="80"/>
              <w:right w:type="dxa" w:w="120"/>
            </w:tcMar>
          </w:tcPr>
          <w:p>
            <w:pPr>
              <w:spacing w:after="40"/>
            </w:pPr>
            <w:r>
              <w:rPr>
                <w:rFonts w:ascii="Aptos" w:hAnsi="Aptos"/>
                <w:b w:val="0"/>
                <w:sz w:val="16"/>
              </w:rPr>
              <w:t>Adversarial probe outcome</w:t>
            </w:r>
          </w:p>
        </w:tc>
        <w:tc>
          <w:tcPr>
            <w:tcW w:type="dxa" w:w="2000"/>
            <w:tcBorders>
              <w:top w:val="single" w:color="C2CEDB" w:sz="4"/>
              <w:left w:val="single" w:color="C2CEDB" w:sz="4"/>
              <w:bottom w:val="single" w:color="C2CEDB" w:sz="4"/>
              <w:right w:val="single" w:color="C2CEDB" w:sz="4"/>
            </w:tcBorders>
            <w:tcMar>
              <w:top w:type="dxa" w:w="80"/>
              <w:left w:type="dxa" w:w="120"/>
              <w:bottom w:type="dxa" w:w="80"/>
              <w:right w:type="dxa" w:w="120"/>
            </w:tcMar>
          </w:tcPr>
          <w:p>
            <w:pPr>
              <w:spacing w:after="40"/>
            </w:pPr>
            <w:r>
              <w:rPr>
                <w:rFonts w:ascii="Aptos" w:hAnsi="Aptos"/>
                <w:b w:val="0"/>
                <w:sz w:val="16"/>
              </w:rPr>
              <w:t>Not fooled</w:t>
            </w:r>
          </w:p>
        </w:tc>
        <w:tc>
          <w:tcPr>
            <w:tcW w:type="dxa" w:w="4000"/>
            <w:tcBorders>
              <w:top w:val="single" w:color="C2CEDB" w:sz="4"/>
              <w:left w:val="single" w:color="C2CEDB" w:sz="4"/>
              <w:bottom w:val="single" w:color="C2CEDB" w:sz="4"/>
              <w:right w:val="single" w:color="C2CEDB" w:sz="4"/>
            </w:tcBorders>
            <w:tcMar>
              <w:top w:type="dxa" w:w="80"/>
              <w:left w:type="dxa" w:w="120"/>
              <w:bottom w:type="dxa" w:w="80"/>
              <w:right w:type="dxa" w:w="120"/>
            </w:tcMar>
          </w:tcPr>
          <w:p>
            <w:pPr>
              <w:spacing w:after="40"/>
            </w:pPr>
            <w:r>
              <w:rPr>
                <w:rFonts w:ascii="Aptos" w:hAnsi="Aptos"/>
                <w:b w:val="0"/>
                <w:sz w:val="16"/>
              </w:rPr>
              <w:t>0 wrong wins across 3 padded + 5 confidently-wrong probes</w:t>
            </w:r>
          </w:p>
        </w:tc>
      </w:tr>
    </w:tbl>
    <w:p>
      <w:pPr>
        <w:spacing w:after="80"/>
      </w:pPr>
      <w:r>
        <w:rPr>
          <w:b w:val="false"/>
          <w:bCs w:val="false"/>
          <w:i w:val="false"/>
          <w:iCs w:val="false"/>
          <w:color w:val="1A1A1A"/>
          <w:sz w:val="22"/>
          <w:szCs w:val="22"/>
        </w:rPr>
        <w:t xml:space="preserve"/>
      </w:r>
    </w:p>
    <w:p>
      <w:pPr>
        <w:pStyle w:val="Heading3"/>
        <w:spacing w:after="70" w:before="140"/>
        <w:keepNext/>
      </w:pPr>
      <w:r>
        <w:rPr>
          <w:b/>
          <w:bCs/>
          <w:i w:val="false"/>
          <w:iCs w:val="false"/>
          <w:color w:val="1A1A1A"/>
          <w:sz w:val="22"/>
          <w:szCs w:val="22"/>
        </w:rPr>
        <w:t xml:space="preserve">2.3.4  A/B comparison &amp; declared winner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c>
          <w:tcPr>
            <w:tcW w:type="dxa" w:w="3360"/>
            <w:tcBorders>
              <w:top w:val="single" w:color="C2CEDB" w:sz="4"/>
              <w:left w:val="single" w:color="C2CEDB" w:sz="4"/>
              <w:bottom w:val="single" w:color="C2CEDB" w:sz="4"/>
              <w:right w:val="single" w:color="C2CEDB" w:sz="4"/>
            </w:tcBorders>
            <w:shd w:fill="D5E2EE" w:val="clear"/>
            <w:tcMar>
              <w:top w:type="dxa" w:w="80"/>
              <w:left w:type="dxa" w:w="120"/>
              <w:bottom w:type="dxa" w:w="80"/>
              <w:right w:type="dxa" w:w="120"/>
            </w:tcMar>
          </w:tcPr>
          <w:p>
            <w:r>
              <w:rPr>
                <w:b/>
                <w:bCs/>
                <w:i w:val="false"/>
                <w:iCs w:val="false"/>
                <w:color w:val="1A1A1A"/>
                <w:sz w:val="20"/>
                <w:szCs w:val="20"/>
              </w:rPr>
              <w:t xml:space="preserve">Config</w:t>
            </w:r>
          </w:p>
        </w:tc>
        <w:tc>
          <w:tcPr>
            <w:tcW w:type="dxa" w:w="2000"/>
            <w:tcBorders>
              <w:top w:val="single" w:color="C2CEDB" w:sz="4"/>
              <w:left w:val="single" w:color="C2CEDB" w:sz="4"/>
              <w:bottom w:val="single" w:color="C2CEDB" w:sz="4"/>
              <w:right w:val="single" w:color="C2CEDB" w:sz="4"/>
            </w:tcBorders>
            <w:shd w:fill="D5E2EE" w:val="clear"/>
            <w:tcMar>
              <w:top w:type="dxa" w:w="80"/>
              <w:left w:type="dxa" w:w="120"/>
              <w:bottom w:type="dxa" w:w="80"/>
              <w:right w:type="dxa" w:w="120"/>
            </w:tcMar>
          </w:tcPr>
          <w:p>
            <w:r>
              <w:rPr>
                <w:b/>
                <w:bCs/>
                <w:i w:val="false"/>
                <w:iCs w:val="false"/>
                <w:color w:val="1A1A1A"/>
                <w:sz w:val="20"/>
                <w:szCs w:val="20"/>
              </w:rPr>
              <w:t xml:space="preserve">Pass rate</w:t>
            </w:r>
          </w:p>
        </w:tc>
        <w:tc>
          <w:tcPr>
            <w:tcW w:type="dxa" w:w="2000"/>
            <w:tcBorders>
              <w:top w:val="single" w:color="C2CEDB" w:sz="4"/>
              <w:left w:val="single" w:color="C2CEDB" w:sz="4"/>
              <w:bottom w:val="single" w:color="C2CEDB" w:sz="4"/>
              <w:right w:val="single" w:color="C2CEDB" w:sz="4"/>
            </w:tcBorders>
            <w:shd w:fill="D5E2EE" w:val="clear"/>
            <w:tcMar>
              <w:top w:type="dxa" w:w="80"/>
              <w:left w:type="dxa" w:w="120"/>
              <w:bottom w:type="dxa" w:w="80"/>
              <w:right w:type="dxa" w:w="120"/>
            </w:tcMar>
          </w:tcPr>
          <w:p>
            <w:r>
              <w:rPr>
                <w:b/>
                <w:bCs/>
                <w:i w:val="false"/>
                <w:iCs w:val="false"/>
                <w:color w:val="1A1A1A"/>
                <w:sz w:val="20"/>
                <w:szCs w:val="20"/>
              </w:rPr>
              <w:t xml:space="preserve">Mean score</w:t>
            </w:r>
          </w:p>
        </w:tc>
        <w:tc>
          <w:tcPr>
            <w:tcW w:type="dxa" w:w="2000"/>
            <w:tcBorders>
              <w:top w:val="single" w:color="C2CEDB" w:sz="4"/>
              <w:left w:val="single" w:color="C2CEDB" w:sz="4"/>
              <w:bottom w:val="single" w:color="C2CEDB" w:sz="4"/>
              <w:right w:val="single" w:color="C2CEDB" w:sz="4"/>
            </w:tcBorders>
            <w:shd w:fill="D5E2EE" w:val="clear"/>
            <w:tcMar>
              <w:top w:type="dxa" w:w="80"/>
              <w:left w:type="dxa" w:w="120"/>
              <w:bottom w:type="dxa" w:w="80"/>
              <w:right w:type="dxa" w:w="120"/>
            </w:tcMar>
          </w:tcPr>
          <w:p>
            <w:r>
              <w:rPr>
                <w:b/>
                <w:bCs/>
                <w:i w:val="false"/>
                <w:iCs w:val="false"/>
                <w:color w:val="1A1A1A"/>
                <w:sz w:val="20"/>
                <w:szCs w:val="20"/>
              </w:rPr>
              <w:t xml:space="preserve">Win rate</w:t>
            </w:r>
          </w:p>
        </w:tc>
      </w:tr>
      <w:tr>
        <w:tc>
          <w:tcPr>
            <w:tcW w:type="dxa" w:w="3360"/>
            <w:tcBorders>
              <w:top w:val="single" w:color="C2CEDB" w:sz="4"/>
              <w:left w:val="single" w:color="C2CEDB" w:sz="4"/>
              <w:bottom w:val="single" w:color="C2CEDB" w:sz="4"/>
              <w:right w:val="single" w:color="C2CEDB" w:sz="4"/>
            </w:tcBorders>
            <w:tcMar>
              <w:top w:type="dxa" w:w="80"/>
              <w:left w:type="dxa" w:w="120"/>
              <w:bottom w:type="dxa" w:w="80"/>
              <w:right w:type="dxa" w:w="120"/>
            </w:tcMar>
          </w:tcPr>
          <w:p>
            <w:pPr>
              <w:spacing w:after="40"/>
            </w:pPr>
            <w:r>
              <w:rPr>
                <w:rFonts w:ascii="Aptos" w:hAnsi="Aptos"/>
                <w:b w:val="0"/>
                <w:sz w:val="17"/>
              </w:rPr>
              <w:t>Config A — reference-aligned candidates</w:t>
            </w:r>
          </w:p>
        </w:tc>
        <w:tc>
          <w:tcPr>
            <w:tcW w:type="dxa" w:w="2000"/>
            <w:tcBorders>
              <w:top w:val="single" w:color="C2CEDB" w:sz="4"/>
              <w:left w:val="single" w:color="C2CEDB" w:sz="4"/>
              <w:bottom w:val="single" w:color="C2CEDB" w:sz="4"/>
              <w:right w:val="single" w:color="C2CEDB" w:sz="4"/>
            </w:tcBorders>
            <w:tcMar>
              <w:top w:type="dxa" w:w="80"/>
              <w:left w:type="dxa" w:w="120"/>
              <w:bottom w:type="dxa" w:w="80"/>
              <w:right w:type="dxa" w:w="120"/>
            </w:tcMar>
          </w:tcPr>
          <w:p>
            <w:pPr>
              <w:spacing w:after="40"/>
            </w:pPr>
            <w:r>
              <w:rPr>
                <w:rFonts w:ascii="Aptos" w:hAnsi="Aptos"/>
                <w:b w:val="0"/>
                <w:sz w:val="17"/>
              </w:rPr>
              <w:t>93.75%</w:t>
            </w:r>
          </w:p>
        </w:tc>
        <w:tc>
          <w:tcPr>
            <w:tcW w:type="dxa" w:w="2000"/>
            <w:tcBorders>
              <w:top w:val="single" w:color="C2CEDB" w:sz="4"/>
              <w:left w:val="single" w:color="C2CEDB" w:sz="4"/>
              <w:bottom w:val="single" w:color="C2CEDB" w:sz="4"/>
              <w:right w:val="single" w:color="C2CEDB" w:sz="4"/>
            </w:tcBorders>
            <w:tcMar>
              <w:top w:type="dxa" w:w="80"/>
              <w:left w:type="dxa" w:w="120"/>
              <w:bottom w:type="dxa" w:w="80"/>
              <w:right w:type="dxa" w:w="120"/>
            </w:tcMar>
          </w:tcPr>
          <w:p>
            <w:pPr>
              <w:spacing w:after="40"/>
            </w:pPr>
            <w:r>
              <w:rPr>
                <w:rFonts w:ascii="Aptos" w:hAnsi="Aptos"/>
                <w:b w:val="0"/>
                <w:sz w:val="17"/>
              </w:rPr>
              <w:t>3.809 / 4</w:t>
            </w:r>
          </w:p>
        </w:tc>
        <w:tc>
          <w:tcPr>
            <w:tcW w:type="dxa" w:w="2000"/>
            <w:tcBorders>
              <w:top w:val="single" w:color="C2CEDB" w:sz="4"/>
              <w:left w:val="single" w:color="C2CEDB" w:sz="4"/>
              <w:bottom w:val="single" w:color="C2CEDB" w:sz="4"/>
              <w:right w:val="single" w:color="C2CEDB" w:sz="4"/>
            </w:tcBorders>
            <w:tcMar>
              <w:top w:type="dxa" w:w="80"/>
              <w:left w:type="dxa" w:w="120"/>
              <w:bottom w:type="dxa" w:w="80"/>
              <w:right w:type="dxa" w:w="120"/>
            </w:tcMar>
          </w:tcPr>
          <w:p>
            <w:pPr>
              <w:spacing w:after="40"/>
            </w:pPr>
            <w:r>
              <w:rPr>
                <w:rFonts w:ascii="Aptos" w:hAnsi="Aptos"/>
                <w:b w:val="0"/>
                <w:sz w:val="17"/>
              </w:rPr>
              <w:t>87.5% (14/16)</w:t>
            </w:r>
          </w:p>
        </w:tc>
      </w:tr>
      <w:tr>
        <w:tc>
          <w:tcPr>
            <w:tcW w:type="dxa" w:w="3360"/>
            <w:tcBorders>
              <w:top w:val="single" w:color="C2CEDB" w:sz="4"/>
              <w:left w:val="single" w:color="C2CEDB" w:sz="4"/>
              <w:bottom w:val="single" w:color="C2CEDB" w:sz="4"/>
              <w:right w:val="single" w:color="C2CEDB" w:sz="4"/>
            </w:tcBorders>
            <w:tcMar>
              <w:top w:type="dxa" w:w="80"/>
              <w:left w:type="dxa" w:w="120"/>
              <w:bottom w:type="dxa" w:w="80"/>
              <w:right w:type="dxa" w:w="120"/>
            </w:tcMar>
          </w:tcPr>
          <w:p>
            <w:pPr>
              <w:spacing w:after="40"/>
            </w:pPr>
            <w:r>
              <w:rPr>
                <w:rFonts w:ascii="Aptos" w:hAnsi="Aptos"/>
                <w:b w:val="0"/>
                <w:sz w:val="17"/>
              </w:rPr>
              <w:t>Config B — contrast/adversarial candidates</w:t>
            </w:r>
          </w:p>
        </w:tc>
        <w:tc>
          <w:tcPr>
            <w:tcW w:type="dxa" w:w="2000"/>
            <w:tcBorders>
              <w:top w:val="single" w:color="C2CEDB" w:sz="4"/>
              <w:left w:val="single" w:color="C2CEDB" w:sz="4"/>
              <w:bottom w:val="single" w:color="C2CEDB" w:sz="4"/>
              <w:right w:val="single" w:color="C2CEDB" w:sz="4"/>
            </w:tcBorders>
            <w:tcMar>
              <w:top w:type="dxa" w:w="80"/>
              <w:left w:type="dxa" w:w="120"/>
              <w:bottom w:type="dxa" w:w="80"/>
              <w:right w:type="dxa" w:w="120"/>
            </w:tcMar>
          </w:tcPr>
          <w:p>
            <w:pPr>
              <w:spacing w:after="40"/>
            </w:pPr>
            <w:r>
              <w:rPr>
                <w:rFonts w:ascii="Aptos" w:hAnsi="Aptos"/>
                <w:b w:val="0"/>
                <w:sz w:val="17"/>
              </w:rPr>
              <w:t>12.50%</w:t>
            </w:r>
          </w:p>
        </w:tc>
        <w:tc>
          <w:tcPr>
            <w:tcW w:type="dxa" w:w="2000"/>
            <w:tcBorders>
              <w:top w:val="single" w:color="C2CEDB" w:sz="4"/>
              <w:left w:val="single" w:color="C2CEDB" w:sz="4"/>
              <w:bottom w:val="single" w:color="C2CEDB" w:sz="4"/>
              <w:right w:val="single" w:color="C2CEDB" w:sz="4"/>
            </w:tcBorders>
            <w:tcMar>
              <w:top w:type="dxa" w:w="80"/>
              <w:left w:type="dxa" w:w="120"/>
              <w:bottom w:type="dxa" w:w="80"/>
              <w:right w:type="dxa" w:w="120"/>
            </w:tcMar>
          </w:tcPr>
          <w:p>
            <w:pPr>
              <w:spacing w:after="40"/>
            </w:pPr>
            <w:r>
              <w:rPr>
                <w:rFonts w:ascii="Aptos" w:hAnsi="Aptos"/>
                <w:b w:val="0"/>
                <w:sz w:val="17"/>
              </w:rPr>
              <w:t>1.325 / 4</w:t>
            </w:r>
          </w:p>
        </w:tc>
        <w:tc>
          <w:tcPr>
            <w:tcW w:type="dxa" w:w="2000"/>
            <w:tcBorders>
              <w:top w:val="single" w:color="C2CEDB" w:sz="4"/>
              <w:left w:val="single" w:color="C2CEDB" w:sz="4"/>
              <w:bottom w:val="single" w:color="C2CEDB" w:sz="4"/>
              <w:right w:val="single" w:color="C2CEDB" w:sz="4"/>
            </w:tcBorders>
            <w:tcMar>
              <w:top w:type="dxa" w:w="80"/>
              <w:left w:type="dxa" w:w="120"/>
              <w:bottom w:type="dxa" w:w="80"/>
              <w:right w:type="dxa" w:w="120"/>
            </w:tcMar>
          </w:tcPr>
          <w:p>
            <w:pPr>
              <w:spacing w:after="40"/>
            </w:pPr>
            <w:r>
              <w:rPr>
                <w:rFonts w:ascii="Aptos" w:hAnsi="Aptos"/>
                <w:b w:val="0"/>
                <w:sz w:val="17"/>
              </w:rPr>
              <w:t>0.0% (0/16)</w:t>
            </w:r>
          </w:p>
        </w:tc>
      </w:tr>
    </w:tbl>
    <w:p>
      <w:pPr>
        <w:spacing w:after="40"/>
      </w:pPr>
      <w:r>
        <w:rPr>
          <w:rFonts w:ascii="Aptos" w:hAnsi="Aptos"/>
          <w:b w:val="0"/>
          <w:sz w:val="18"/>
        </w:rPr>
        <w:t>Declared winner + one-line justification  Historical fixture comparison: A won 14, B won 0, two ties. These are constructed reference-aligned/contrast fixtures. The fresh balanced diagnostic changes slots and cannot name a superior system; the actual legacy/hardened generation comparison tied on the 16 context cases.</w:t>
      </w:r>
    </w:p>
    <w:p>
      <w:pPr>
        <w:spacing w:after="40"/>
      </w:pPr>
      <w:r>
        <w:rPr>
          <w:rFonts w:ascii="Aptos" w:hAnsi="Aptos"/>
          <w:b w:val="0"/>
          <w:sz w:val="16"/>
        </w:rPr>
        <w:t>Review validation  160 tests passed. 295 new successful live requests across source-information, fixed-answer, order, adversarial and balanced diagnostics; estimated new cost $1.675607 USD. Original run and its $1.042644 estimate remain historical. Full source/usage/provenance: results/review-v2/verification/.</w:t>
      </w:r>
    </w:p>
    <w:p>
      <w:pPr>
        <w:pStyle w:val="Heading2"/>
        <w:spacing w:after="100" w:before="220"/>
        <w:keepNext/>
      </w:pPr>
      <w:r>
        <w:rPr>
          <w:b/>
          <w:bCs/>
          <w:i w:val="false"/>
          <w:iCs w:val="false"/>
          <w:color w:val="2E6CA6"/>
          <w:sz w:val="25"/>
          <w:szCs w:val="25"/>
        </w:rPr>
        <w:t xml:space="preserve">2.4  Design Decisions &amp; Trade-offs</w:t>
      </w:r>
    </w:p>
    <w:p>
      <w:pPr>
        <w:spacing w:after="140"/>
        <w:keepNext/>
      </w:pPr>
      <w:r>
        <w:rPr>
          <w:b w:val="false"/>
          <w:bCs w:val="false"/>
          <w:i/>
          <w:iCs/>
          <w:color w:val="7A7A7A"/>
          <w:sz w:val="21"/>
          <w:szCs w:val="21"/>
        </w:rPr>
        <w:t xml:space="preserve">One short paragraph per prompt.</w:t>
      </w:r>
    </w:p>
    <w:p>
      <w:pPr>
        <w:pStyle w:val="Heading3"/>
        <w:keepNext/>
        <w:spacing w:after="70" w:before="140"/>
      </w:pPr>
      <w:r>
        <w:rPr>
          <w:b/>
          <w:bCs/>
          <w:i w:val="false"/>
          <w:iCs w:val="false"/>
          <w:color w:val="1A1A1A"/>
          <w:sz w:val="22"/>
          <w:szCs w:val="22"/>
        </w:rPr>
        <w:t xml:space="preserve">Which judging mode did you pick, and why does it fit this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A9BDD3" w:sz="6"/>
              <w:left w:val="dashed" w:color="A9BDD3" w:sz="6"/>
              <w:bottom w:val="dashed" w:color="A9BDD3" w:sz="6"/>
              <w:right w:val="dashed" w:color="A9BDD3" w:sz="6"/>
            </w:tcBorders>
            <w:shd w:fill="F4F7FB" w:val="clear"/>
            <w:tcMar>
              <w:top w:type="dxa" w:w="140"/>
              <w:left w:type="dxa" w:w="160"/>
              <w:bottom w:type="dxa" w:w="140"/>
              <w:right w:type="dxa" w:w="160"/>
            </w:tcMar>
          </w:tcPr>
          <w:p>
            <w:pPr>
              <w:spacing w:after="40"/>
            </w:pPr>
            <w:r>
              <w:rPr>
                <w:rFonts w:ascii="Aptos" w:hAnsi="Aptos"/>
                <w:b w:val="0"/>
                <w:sz w:val="17"/>
              </w:rPr>
              <w:t>The pipeline combines pointwise scoring (diagnostic per-criterion scores) with order-swapped pairwise comparison (direct A/B selection). Reference-based judging fits labeled cases; the prompt falls back to supplied evidence and internal consistency when no reference exists.</w:t>
            </w:r>
          </w:p>
        </w:tc>
      </w:tr>
    </w:tbl>
    <w:p>
      <w:pPr>
        <w:pStyle w:val="Heading3"/>
        <w:keepNext/>
        <w:spacing w:after="70" w:before="140"/>
      </w:pPr>
      <w:r>
        <w:rPr>
          <w:b/>
          <w:bCs/>
          <w:i w:val="false"/>
          <w:iCs w:val="false"/>
          <w:color w:val="1A1A1A"/>
          <w:sz w:val="22"/>
          <w:szCs w:val="22"/>
        </w:rPr>
        <w:t xml:space="preserve">How do you parse a STRUCTURED verdict and recover when the judge returns malformed 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A9BDD3" w:sz="6"/>
              <w:left w:val="dashed" w:color="A9BDD3" w:sz="6"/>
              <w:bottom w:val="dashed" w:color="A9BDD3" w:sz="6"/>
              <w:right w:val="dashed" w:color="A9BDD3" w:sz="6"/>
            </w:tcBorders>
            <w:shd w:fill="F4F7FB" w:val="clear"/>
            <w:tcMar>
              <w:top w:type="dxa" w:w="140"/>
              <w:left w:type="dxa" w:w="160"/>
              <w:bottom w:type="dxa" w:w="140"/>
              <w:right w:type="dxa" w:w="160"/>
            </w:tcMar>
          </w:tcPr>
          <w:p>
            <w:pPr>
              <w:spacing w:after="40"/>
            </w:pPr>
            <w:r>
              <w:rPr>
                <w:rFonts w:ascii="Aptos" w:hAnsi="Aptos"/>
                <w:b w:val="0"/>
                <w:sz w:val="17"/>
              </w:rPr>
              <w:t>The parser extracts a JSON object from plain text or fenced output, repairs only trailing commas, then validates every required field, score range and rationale. Invalid output triggers one schema-correction retry; unresolved verdicts remain invalid and cannot silently count as passes.</w:t>
            </w:r>
          </w:p>
        </w:tc>
      </w:tr>
    </w:tbl>
    <w:p>
      <w:pPr>
        <w:pStyle w:val="Heading3"/>
        <w:keepNext/>
        <w:spacing w:after="70" w:before="140"/>
      </w:pPr>
      <w:r>
        <w:rPr>
          <w:b/>
          <w:bCs/>
          <w:i w:val="false"/>
          <w:iCs w:val="false"/>
          <w:color w:val="1A1A1A"/>
          <w:sz w:val="22"/>
          <w:szCs w:val="22"/>
        </w:rPr>
        <w:t xml:space="preserve">Why this judge model family vs the generator family (self-enhancement risk)?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A9BDD3" w:sz="6"/>
              <w:left w:val="dashed" w:color="A9BDD3" w:sz="6"/>
              <w:bottom w:val="dashed" w:color="A9BDD3" w:sz="6"/>
              <w:right w:val="dashed" w:color="A9BDD3" w:sz="6"/>
            </w:tcBorders>
            <w:shd w:fill="F4F7FB" w:val="clear"/>
            <w:tcMar>
              <w:top w:type="dxa" w:w="140"/>
              <w:left w:type="dxa" w:w="160"/>
              <w:bottom w:type="dxa" w:w="140"/>
              <w:right w:type="dxa" w:w="160"/>
            </w:tcMar>
          </w:tcPr>
          <w:p>
            <w:pPr>
              <w:spacing w:after="40"/>
            </w:pPr>
            <w:r>
              <w:rPr>
                <w:rFonts w:ascii="Aptos" w:hAnsi="Aptos"/>
                <w:b w:val="0"/>
                <w:sz w:val="17"/>
              </w:rPr>
              <w:t>JUDGE_* and GENERATOR_* settings are independent and the report records both families. Here Claude Sonnet 5.5 judged reference-written fixtures, whose generator family cannot be inferred; therefore the package does not claim an empirical cross-model self-enhancement result.</w:t>
            </w:r>
          </w:p>
        </w:tc>
      </w:tr>
    </w:tbl>
    <w:p>
      <w:pPr>
        <w:pStyle w:val="Heading3"/>
        <w:keepNext/>
        <w:spacing w:after="70" w:before="140"/>
      </w:pPr>
      <w:r>
        <w:rPr>
          <w:b/>
          <w:bCs/>
          <w:i w:val="false"/>
          <w:iCs w:val="false"/>
          <w:color w:val="1A1A1A"/>
          <w:sz w:val="22"/>
          <w:szCs w:val="22"/>
        </w:rPr>
        <w:t xml:space="preserve">Which bias worried you most, and how confident are you the mitigation actually worked?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A9BDD3" w:sz="6"/>
              <w:left w:val="dashed" w:color="A9BDD3" w:sz="6"/>
              <w:bottom w:val="dashed" w:color="A9BDD3" w:sz="6"/>
              <w:right w:val="dashed" w:color="A9BDD3" w:sz="6"/>
            </w:tcBorders>
            <w:shd w:fill="F4F7FB" w:val="clear"/>
            <w:tcMar>
              <w:top w:type="dxa" w:w="140"/>
              <w:left w:type="dxa" w:w="160"/>
              <w:bottom w:type="dxa" w:w="140"/>
              <w:right w:type="dxa" w:w="160"/>
            </w:tcMar>
          </w:tcPr>
          <w:p>
            <w:pPr>
              <w:spacing w:after="40"/>
            </w:pPr>
            <w:r>
              <w:rPr>
                <w:rFonts w:ascii="Aptos" w:hAnsi="Aptos"/>
                <w:b w:val="0"/>
                <w:sz w:val="17"/>
              </w:rPr>
              <w:t>Order sensitivity is assessed against repeated unchanged controls. The separate fixed-answer passage experiment had 0/30 reordered score disagreements and 0/18 unchanged-control disagreements, with all six answers fully supported. This ceiling-limited sample does not rule out bias. A tie policy suppresses decisive flips; it does not debias the model.</w:t>
            </w:r>
          </w:p>
        </w:tc>
      </w:tr>
    </w:tbl>
    <w:p>
      <w:pPr>
        <w:pStyle w:val="Heading3"/>
        <w:keepNext/>
        <w:spacing w:after="70" w:before="140"/>
      </w:pPr>
      <w:r>
        <w:rPr>
          <w:b/>
          <w:bCs/>
          <w:i w:val="false"/>
          <w:iCs w:val="false"/>
          <w:color w:val="1A1A1A"/>
          <w:sz w:val="22"/>
          <w:szCs w:val="22"/>
        </w:rPr>
        <w:t xml:space="preserve">Would you let this judge gate a release? Under what guardrails — and where would you keep a human in the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A9BDD3" w:sz="6"/>
              <w:left w:val="dashed" w:color="A9BDD3" w:sz="6"/>
              <w:bottom w:val="dashed" w:color="A9BDD3" w:sz="6"/>
              <w:right w:val="dashed" w:color="A9BDD3" w:sz="6"/>
            </w:tcBorders>
            <w:shd w:fill="F4F7FB" w:val="clear"/>
            <w:tcMar>
              <w:top w:type="dxa" w:w="140"/>
              <w:left w:type="dxa" w:w="160"/>
              <w:bottom w:type="dxa" w:w="140"/>
              <w:right w:type="dxa" w:w="160"/>
            </w:tcMar>
          </w:tcPr>
          <w:p>
            <w:pPr>
              <w:spacing w:after="40"/>
            </w:pPr>
            <w:r>
              <w:rPr>
                <w:rFonts w:ascii="Aptos" w:hAnsi="Aptos"/>
                <w:b w:val="0"/>
                <w:sz w:val="17"/>
              </w:rPr>
              <w:t>I would use the judge as one release signal only: versioned rubric and suite, order swaps, schema validation, audit retention, retry/error thresholds, drift monitoring, and a blocking human review for ties, safety-sensitive cases, changed model/rubric versions, or disagreement with gold labels.</w:t>
            </w:r>
          </w:p>
        </w:tc>
      </w:tr>
    </w:tbl>
    <w:p>
      <w:pPr>
        <w:spacing w:after="80"/>
      </w:pPr>
      <w:r>
        <w:rPr>
          <w:b w:val="false"/>
          <w:bCs w:val="false"/>
          <w:i w:val="false"/>
          <w:iCs w:val="false"/>
          <w:color w:val="1A1A1A"/>
          <w:sz w:val="22"/>
          <w:szCs w:val="22"/>
        </w:rPr>
        <w:t xml:space="preserve"/>
      </w:r>
    </w:p>
    <w:p>
      <w:pPr>
        <w:pStyle w:val="Heading2"/>
        <w:spacing w:after="100" w:before="220"/>
        <w:keepNext/>
      </w:pPr>
      <w:r>
        <w:rPr>
          <w:b/>
          <w:bCs/>
          <w:i w:val="false"/>
          <w:iCs w:val="false"/>
          <w:color w:val="2E6CA6"/>
          <w:sz w:val="25"/>
          <w:szCs w:val="25"/>
        </w:rPr>
        <w:t xml:space="preserve">2.5  Subtask Evidence &amp; Reflection</w:t>
      </w:r>
    </w:p>
    <w:p>
      <w:pPr>
        <w:spacing w:after="120" w:line="240" w:lineRule="auto"/>
        <w:keepNext/>
      </w:pPr>
      <w:r>
        <w:rPr>
          <w:rFonts w:ascii="Aptos" w:hAnsi="Aptos" w:eastAsia="Aptos"/>
          <w:color w:val="000000"/>
          <w:sz w:val="22"/>
        </w:rPr>
        <w:t>Evidence and the three Problem 2 answers are included below. AI assistance is described in the disclosure.</w:t>
      </w:r>
    </w:p>
    <w:p>
      <w:pPr>
        <w:pStyle w:val="Heading3"/>
        <w:spacing w:after="70" w:before="140"/>
        <w:keepNext/>
      </w:pPr>
      <w:r>
        <w:rPr>
          <w:b/>
          <w:bCs/>
          <w:i w:val="false"/>
          <w:iCs w:val="false"/>
          <w:color w:val="1A1A1A"/>
          <w:sz w:val="22"/>
          <w:szCs w:val="22"/>
        </w:rPr>
        <w:t xml:space="preserve">Screenshot — auditable prompt + response</w:t>
      </w:r>
    </w:p>
    <w:p>
      <w:pPr>
        <w:spacing w:after="140"/>
        <w:keepNext/>
      </w:pPr>
      <w:r>
        <w:rPr>
          <w:b w:val="false"/>
          <w:bCs w:val="false"/>
          <w:i/>
          <w:iCs/>
          <w:color w:val="7A7A7A"/>
          <w:sz w:val="21"/>
          <w:szCs w:val="21"/>
        </w:rPr>
        <w:t xml:space="preserve">A raw judge prompt paired with its raw response, pulled from your logs.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A9BDD3" w:sz="6"/>
              <w:left w:val="dashed" w:color="A9BDD3" w:sz="6"/>
              <w:bottom w:val="dashed" w:color="A9BDD3" w:sz="6"/>
              <w:right w:val="dashed" w:color="A9BDD3" w:sz="6"/>
            </w:tcBorders>
            <w:shd w:fill="F4F7FB" w:val="clear"/>
            <w:tcMar>
              <w:top w:type="dxa" w:w="140"/>
              <w:left w:type="dxa" w:w="160"/>
              <w:bottom w:type="dxa" w:w="140"/>
              <w:right w:type="dxa" w:w="160"/>
            </w:tcMar>
          </w:tcPr>
          <w:p>
            <w:pPr>
              <w:jc w:val="center"/>
            </w:pPr>
            <w:r/>
            <w:r>
              <w:drawing>
                <wp:inline xmlns:a="http://schemas.openxmlformats.org/drawingml/2006/main" xmlns:pic="http://schemas.openxmlformats.org/drawingml/2006/picture">
                  <wp:extent cx="4286250" cy="6675120"/>
                  <wp:docPr id="5" name="Picture 5"/>
                  <wp:cNvGraphicFramePr>
                    <a:graphicFrameLocks noChangeAspect="1"/>
                  </wp:cNvGraphicFramePr>
                  <a:graphic>
                    <a:graphicData uri="http://schemas.openxmlformats.org/drawingml/2006/picture">
                      <pic:pic>
                        <pic:nvPicPr>
                          <pic:cNvPr id="0" name="02_actual_prompt_response.png"/>
                          <pic:cNvPicPr/>
                        </pic:nvPicPr>
                        <pic:blipFill>
                          <a:blip r:embed="rId13"/>
                          <a:stretch>
                            <a:fillRect/>
                          </a:stretch>
                        </pic:blipFill>
                        <pic:spPr>
                          <a:xfrm>
                            <a:off x="0" y="0"/>
                            <a:ext cx="4286250" cy="6675120"/>
                          </a:xfrm>
                          <a:prstGeom prst="rect"/>
                        </pic:spPr>
                      </pic:pic>
                    </a:graphicData>
                  </a:graphic>
                </wp:inline>
              </w:drawing>
            </w:r>
          </w:p>
          <w:p>
            <w:pPr>
              <w:spacing w:after="40"/>
              <w:jc w:val="center"/>
            </w:pPr>
            <w:r>
              <w:rPr>
                <w:rFonts w:ascii="Aptos" w:hAnsi="Aptos"/>
                <w:b w:val="0"/>
                <w:color w:val="475569"/>
                <w:sz w:val="16"/>
              </w:rPr>
              <w:t>Historical measured prompt/response excerpt from audit.jsonl; credentials redacted by construction.</w:t>
            </w:r>
          </w:p>
        </w:tc>
      </w:tr>
    </w:tbl>
    <w:p>
      <w:pPr>
        <w:spacing w:after="80"/>
      </w:pPr>
      <w:r>
        <w:rPr>
          <w:b w:val="false"/>
          <w:bCs w:val="false"/>
          <w:i w:val="false"/>
          <w:iCs w:val="false"/>
          <w:color w:val="1A1A1A"/>
          <w:sz w:val="22"/>
          <w:szCs w:val="22"/>
        </w:rPr>
        <w:t xml:space="preserve"/>
      </w:r>
    </w:p>
    <w:p>
      <w:pPr>
        <w:pStyle w:val="Heading3"/>
        <w:spacing w:after="70" w:before="140"/>
        <w:keepNext/>
      </w:pPr>
      <w:r>
        <w:rPr>
          <w:b/>
          <w:bCs/>
          <w:i w:val="false"/>
          <w:iCs w:val="false"/>
          <w:color w:val="1A1A1A"/>
          <w:sz w:val="22"/>
          <w:szCs w:val="22"/>
        </w:rPr>
        <w:t xml:space="preserve">Screenshot — position-bias result</w:t>
      </w:r>
    </w:p>
    <w:p>
      <w:pPr>
        <w:spacing w:after="140"/>
        <w:keepNext/>
      </w:pPr>
      <w:r>
        <w:rPr>
          <w:b w:val="false"/>
          <w:bCs w:val="false"/>
          <w:i/>
          <w:iCs/>
          <w:color w:val="7A7A7A"/>
          <w:sz w:val="21"/>
          <w:szCs w:val="21"/>
        </w:rPr>
        <w:t xml:space="preserve">Same pair scored in both orders, with the flip 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A9BDD3" w:sz="6"/>
              <w:left w:val="dashed" w:color="A9BDD3" w:sz="6"/>
              <w:bottom w:val="dashed" w:color="A9BDD3" w:sz="6"/>
              <w:right w:val="dashed" w:color="A9BDD3" w:sz="6"/>
            </w:tcBorders>
            <w:shd w:fill="F4F7FB" w:val="clear"/>
            <w:tcMar>
              <w:top w:type="dxa" w:w="140"/>
              <w:left w:type="dxa" w:w="160"/>
              <w:bottom w:type="dxa" w:w="140"/>
              <w:right w:type="dxa" w:w="160"/>
            </w:tcMar>
          </w:tcPr>
          <w:p>
            <w:pPr>
              <w:jc w:val="center"/>
            </w:pPr>
            <w:r/>
            <w:r>
              <w:drawing>
                <wp:inline xmlns:a="http://schemas.openxmlformats.org/drawingml/2006/main" xmlns:pic="http://schemas.openxmlformats.org/drawingml/2006/picture">
                  <wp:extent cx="5715000" cy="2743200"/>
                  <wp:docPr id="6" name="Picture 6"/>
                  <wp:cNvGraphicFramePr>
                    <a:graphicFrameLocks noChangeAspect="1"/>
                  </wp:cNvGraphicFramePr>
                  <a:graphic>
                    <a:graphicData uri="http://schemas.openxmlformats.org/drawingml/2006/picture">
                      <pic:pic>
                        <pic:nvPicPr>
                          <pic:cNvPr id="0" name="03_order_swap_comparison.png"/>
                          <pic:cNvPicPr/>
                        </pic:nvPicPr>
                        <pic:blipFill>
                          <a:blip r:embed="rId14"/>
                          <a:stretch>
                            <a:fillRect/>
                          </a:stretch>
                        </pic:blipFill>
                        <pic:spPr>
                          <a:xfrm>
                            <a:off x="0" y="0"/>
                            <a:ext cx="5715000" cy="2743200"/>
                          </a:xfrm>
                          <a:prstGeom prst="rect"/>
                        </pic:spPr>
                      </pic:pic>
                    </a:graphicData>
                  </a:graphic>
                </wp:inline>
              </w:drawing>
            </w:r>
          </w:p>
          <w:p>
            <w:pPr>
              <w:spacing w:after="40"/>
              <w:jc w:val="center"/>
            </w:pPr>
            <w:r>
              <w:rPr>
                <w:rFonts w:ascii="Aptos" w:hAnsi="Aptos"/>
                <w:b w:val="0"/>
                <w:color w:val="475569"/>
                <w:sz w:val="16"/>
              </w:rPr>
              <w:t>Historical pair in both display orders; canonical decision A; controlled flip = false.</w:t>
            </w:r>
          </w:p>
        </w:tc>
      </w:tr>
    </w:tbl>
    <w:p>
      <w:pPr>
        <w:spacing w:after="80"/>
      </w:pPr>
      <w:r>
        <w:rPr>
          <w:b w:val="false"/>
          <w:bCs w:val="false"/>
          <w:i w:val="false"/>
          <w:iCs w:val="false"/>
          <w:color w:val="1A1A1A"/>
          <w:sz w:val="22"/>
          <w:szCs w:val="22"/>
        </w:rPr>
        <w:t xml:space="preserve"/>
      </w:r>
    </w:p>
    <w:p>
      <w:pPr>
        <w:pStyle w:val="Heading3"/>
        <w:spacing w:after="120" w:before="140" w:line="240" w:lineRule="auto"/>
        <w:keepNext/>
      </w:pPr>
      <w:r>
        <w:rPr>
          <w:rFonts w:ascii="Aptos" w:hAnsi="Aptos" w:eastAsia="Aptos"/>
          <w:color w:val="000000"/>
          <w:sz w:val="22"/>
        </w:rPr>
        <w:t>Position-bias check</w:t>
      </w:r>
    </w:p>
    <w:p>
      <w:pPr>
        <w:spacing w:after="120" w:line="240" w:lineRule="auto"/>
        <w:keepNext/>
      </w:pPr>
      <w:r>
        <w:rPr>
          <w:rFonts w:ascii="Aptos" w:hAnsi="Aptos" w:eastAsia="Aptos"/>
          <w:color w:val="000000"/>
          <w:sz w:val="22"/>
        </w:rPr>
        <w:t>How does the order-swap check work, and what would a high flip rate suggest?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A9BDD3" w:sz="6"/>
              <w:left w:val="dashed" w:color="A9BDD3" w:sz="6"/>
              <w:bottom w:val="dashed" w:color="A9BDD3" w:sz="6"/>
              <w:right w:val="dashed" w:color="A9BDD3" w:sz="6"/>
            </w:tcBorders>
            <w:shd w:fill="F4F7FB" w:val="clear"/>
            <w:tcMar>
              <w:top w:type="dxa" w:w="140"/>
              <w:left w:type="dxa" w:w="160"/>
              <w:bottom w:type="dxa" w:w="140"/>
              <w:right w:type="dxa" w:w="160"/>
            </w:tcMar>
          </w:tcPr>
          <w:p>
            <w:pPr>
              <w:spacing w:after="120" w:line="240" w:lineRule="auto"/>
              <w:keepLines/>
            </w:pPr>
            <w:r>
              <w:rPr>
                <w:rFonts w:ascii="Aptos" w:hAnsi="Aptos" w:eastAsia="Aptos"/>
                <w:color w:val="000000"/>
                <w:sz w:val="22"/>
              </w:rPr>
              <w:t>I checked whether changing the order of the answers would change the judge’s choice. Each pair was shown as A–B and then B–A, and the verdicts were compared using the original answer identities. I also repeated the judgments with the order unchanged to check how consistent they were.</w:t>
            </w:r>
          </w:p>
          <w:p>
            <w:pPr>
              <w:spacing w:after="120" w:line="240" w:lineRule="auto"/>
              <w:keepLines/>
            </w:pPr>
            <w:r>
              <w:rPr>
                <w:rFonts w:ascii="Aptos" w:hAnsi="Aptos" w:eastAsia="Aptos"/>
                <w:color w:val="000000"/>
                <w:sz w:val="22"/>
              </w:rPr>
              <w:t>The simpler baseline changed its choice on one of the 16 pairs. Both answers in that case said essentially the same thing about environment variables, so there was little reason to prefer either one. The rubric-based judge returned a tie. Across its two repetitions, all 32 order comparisons agreed, and the unchanged-order checks were stable too.</w:t>
            </w:r>
          </w:p>
          <w:p>
            <w:pPr>
              <w:spacing w:after="120" w:line="240" w:lineRule="auto"/>
              <w:keepLines/>
            </w:pPr>
            <w:r>
              <w:rPr>
                <w:rFonts w:ascii="Aptos" w:hAnsi="Aptos" w:eastAsia="Aptos"/>
                <w:color w:val="000000"/>
                <w:sz w:val="22"/>
              </w:rPr>
              <w:t>The results are encouraging, but I wouldn’t say position bias is solved. These are only 16 selected examples. Also, the pipeline turns conflicting verdicts into ties as a precaution; the zero disagreement reported here was measured before that rule was applied.</w:t>
            </w:r>
          </w:p>
        </w:tc>
      </w:tr>
    </w:tbl>
    <w:p>
      <w:pPr>
        <w:spacing w:after="80"/>
      </w:pPr>
      <w:r>
        <w:rPr>
          <w:b w:val="false"/>
          <w:bCs w:val="false"/>
          <w:i w:val="false"/>
          <w:iCs w:val="false"/>
          <w:color w:val="1A1A1A"/>
          <w:sz w:val="22"/>
          <w:szCs w:val="22"/>
        </w:rPr>
        <w:t xml:space="preserve"/>
      </w:r>
    </w:p>
    <w:p>
      <w:pPr>
        <w:pStyle w:val="Heading3"/>
        <w:spacing w:after="70" w:before="140"/>
        <w:keepNext/>
      </w:pPr>
      <w:r>
        <w:rPr>
          <w:b/>
          <w:bCs/>
          <w:i w:val="false"/>
          <w:iCs w:val="false"/>
          <w:color w:val="1A1A1A"/>
          <w:sz w:val="22"/>
          <w:szCs w:val="22"/>
        </w:rPr>
        <w:t xml:space="preserve">Adversarial probe outcome</w:t>
      </w:r>
    </w:p>
    <w:p>
      <w:pPr>
        <w:spacing w:after="140"/>
        <w:keepNext/>
      </w:pPr>
      <w:r>
        <w:rPr>
          <w:b w:val="false"/>
          <w:bCs w:val="false"/>
          <w:i/>
          <w:iCs/>
          <w:color w:val="7A7A7A"/>
          <w:sz w:val="21"/>
          <w:szCs w:val="21"/>
        </w:rPr>
        <w:t xml:space="preserve">Show the verdict on a verbose-but-wrong or terse-but-correct probe. Did the judge get fooled?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A9BDD3" w:sz="6"/>
              <w:left w:val="dashed" w:color="A9BDD3" w:sz="6"/>
              <w:bottom w:val="dashed" w:color="A9BDD3" w:sz="6"/>
              <w:right w:val="dashed" w:color="A9BDD3" w:sz="6"/>
            </w:tcBorders>
            <w:shd w:fill="F4F7FB" w:val="clear"/>
            <w:tcMar>
              <w:top w:type="dxa" w:w="140"/>
              <w:left w:type="dxa" w:w="160"/>
              <w:bottom w:type="dxa" w:w="140"/>
              <w:right w:type="dxa" w:w="160"/>
            </w:tcMar>
          </w:tcPr>
          <w:p>
            <w:pPr>
              <w:jc w:val="center"/>
            </w:pPr>
            <w:r/>
            <w:r>
              <w:drawing>
                <wp:inline xmlns:a="http://schemas.openxmlformats.org/drawingml/2006/main" xmlns:pic="http://schemas.openxmlformats.org/drawingml/2006/picture">
                  <wp:extent cx="5715000" cy="3482340"/>
                  <wp:docPr id="7" name="Picture 7"/>
                  <wp:cNvGraphicFramePr>
                    <a:graphicFrameLocks noChangeAspect="1"/>
                  </wp:cNvGraphicFramePr>
                  <a:graphic>
                    <a:graphicData uri="http://schemas.openxmlformats.org/drawingml/2006/picture">
                      <pic:pic>
                        <pic:nvPicPr>
                          <pic:cNvPr id="0" name="04_adversarial_verdict.png"/>
                          <pic:cNvPicPr/>
                        </pic:nvPicPr>
                        <pic:blipFill>
                          <a:blip r:embed="rId15"/>
                          <a:stretch>
                            <a:fillRect/>
                          </a:stretch>
                        </pic:blipFill>
                        <pic:spPr>
                          <a:xfrm>
                            <a:off x="0" y="0"/>
                            <a:ext cx="5715000" cy="3482340"/>
                          </a:xfrm>
                          <a:prstGeom prst="rect"/>
                        </pic:spPr>
                      </pic:pic>
                    </a:graphicData>
                  </a:graphic>
                </wp:inline>
              </w:drawing>
            </w:r>
          </w:p>
          <w:p>
            <w:pPr>
              <w:spacing w:after="40"/>
              <w:jc w:val="center"/>
            </w:pPr>
            <w:r>
              <w:rPr>
                <w:rFonts w:ascii="Aptos" w:hAnsi="Aptos"/>
                <w:b w:val="0"/>
                <w:color w:val="475569"/>
                <w:sz w:val="16"/>
              </w:rPr>
              <w:t>Historical measured verdict from the live audit.</w:t>
            </w:r>
          </w:p>
          <w:p>
            <w:pPr>
              <w:spacing w:after="120" w:line="240" w:lineRule="auto"/>
              <w:keepLines/>
            </w:pPr>
            <w:r>
              <w:rPr>
                <w:rFonts w:ascii="Aptos" w:hAnsi="Aptos" w:eastAsia="Aptos"/>
                <w:color w:val="000000"/>
                <w:sz w:val="22"/>
              </w:rPr>
              <w:t>I wanted to see whether an answer could win just by being longer or sounding more certain. Across the three padded-answer cases and five confidently wrong cases, none of those answers beat the reference-preferred response. The check followed the actual answer through both presentation orders, so changing its A/B label did not change what counted as a wrong choice.</w:t>
            </w:r>
          </w:p>
          <w:p>
            <w:pPr>
              <w:spacing w:after="120" w:line="240" w:lineRule="auto"/>
              <w:keepLines/>
            </w:pPr>
            <w:r>
              <w:rPr>
                <w:rFonts w:ascii="Aptos" w:hAnsi="Aptos" w:eastAsia="Aptos"/>
                <w:color w:val="000000"/>
                <w:sz w:val="22"/>
              </w:rPr>
              <w:t>For example, one answer confidently claimed that Pushgateway should be used for every application. The source recommends it only in limited circumstances, and the judge chose the answer that respected that restriction in both orders. In another case, both answers correctly mentioned environment variables, but one added generic advice that did not help answer the question. The judge preferred the direct response.</w:t>
            </w:r>
          </w:p>
          <w:p>
            <w:pPr>
              <w:spacing w:after="120" w:line="240" w:lineRule="auto"/>
              <w:keepLines/>
            </w:pPr>
            <w:r>
              <w:rPr>
                <w:rFonts w:ascii="Aptos" w:hAnsi="Aptos" w:eastAsia="Aptos"/>
                <w:color w:val="000000"/>
                <w:sz w:val="22"/>
              </w:rPr>
              <w:t>I would be careful about interpreting that second example. A longer answer is not necessarily worse, and confidence is not necessarily a warning sign. What matters is whether the extra detail is accurate and useful. A stronger test would include a longer answer with necessary qualifications, a short answer that leaves out something important, and an incorrect answer written in a cautious tone. That would help check whether the judge is assessing the content rather than learning a shortcut such as “shorter is better.”</w:t>
            </w:r>
          </w:p>
          <w:p>
            <w:pPr>
              <w:spacing w:after="120" w:line="240" w:lineRule="auto"/>
              <w:keepLines/>
            </w:pPr>
            <w:r>
              <w:rPr>
                <w:rFonts w:ascii="Aptos" w:hAnsi="Aptos" w:eastAsia="Aptos"/>
                <w:color w:val="000000"/>
                <w:sz w:val="22"/>
              </w:rPr>
              <w:t>The baseline passed all eight probes too. These results therefore do not show that the additional controls improved performance on these cases. They show that both versions handled the selected examples correctly.</w:t>
            </w:r>
          </w:p>
          <w:p>
            <w:pPr>
              <w:spacing w:after="120" w:line="240" w:lineRule="auto"/>
              <w:keepLines/>
            </w:pPr>
            <w:r>
              <w:rPr>
                <w:rFonts w:ascii="Aptos" w:hAnsi="Aptos" w:eastAsia="Aptos"/>
                <w:color w:val="000000"/>
                <w:sz w:val="22"/>
              </w:rPr>
              <w:t>The examples also have limits. Some errors, such as recommending Pushgateway for every application “without exceptions,” are fairly obvious once the reference is available. More difficult cases would contain a small factual error inside an otherwise convincing answer, an omitted exception, or a correct statement attributed to the wrong source. The expected labels here were derived from references rather than independent blind human judgments. Before trusting the judge on unfamiliar tasks, I would want to see how it handles those closer decisions and where its reasoning disagrees with human reviewers.</w:t>
            </w:r>
          </w:p>
        </w:tc>
      </w:tr>
    </w:tbl>
    <w:p>
      <w:pPr>
        <w:spacing w:after="80"/>
      </w:pPr>
      <w:r>
        <w:rPr>
          <w:b w:val="false"/>
          <w:bCs w:val="false"/>
          <w:i w:val="false"/>
          <w:iCs w:val="false"/>
          <w:color w:val="1A1A1A"/>
          <w:sz w:val="22"/>
          <w:szCs w:val="22"/>
        </w:rPr>
        <w:t xml:space="preserve"/>
      </w:r>
    </w:p>
    <w:p>
      <w:pPr>
        <w:pStyle w:val="Heading3"/>
        <w:spacing w:after="70" w:before="140"/>
        <w:keepNext/>
      </w:pPr>
      <w:r>
        <w:rPr>
          <w:b/>
          <w:bCs/>
          <w:i w:val="false"/>
          <w:iCs w:val="false"/>
          <w:color w:val="1A1A1A"/>
          <w:sz w:val="22"/>
          <w:szCs w:val="22"/>
        </w:rPr>
        <w:t xml:space="preserve">AI usage disclosure</w:t>
      </w:r>
    </w:p>
    <w:p>
      <w:pPr>
        <w:spacing w:after="140"/>
        <w:keepNext/>
      </w:pPr>
      <w:r>
        <w:rPr>
          <w:b w:val="false"/>
          <w:bCs w:val="false"/>
          <w:i/>
          <w:iCs/>
          <w:color w:val="7A7A7A"/>
          <w:sz w:val="21"/>
          <w:szCs w:val="21"/>
        </w:rPr>
        <w:t xml:space="preserve">Which AI tools you used and for what; which parts are entirely your 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A9BDD3" w:sz="6"/>
              <w:left w:val="dashed" w:color="A9BDD3" w:sz="6"/>
              <w:bottom w:val="dashed" w:color="A9BDD3" w:sz="6"/>
              <w:right w:val="dashed" w:color="A9BDD3" w:sz="6"/>
            </w:tcBorders>
            <w:shd w:fill="F4F7FB" w:val="clear"/>
            <w:tcMar>
              <w:top w:type="dxa" w:w="140"/>
              <w:left w:type="dxa" w:w="160"/>
              <w:bottom w:type="dxa" w:w="140"/>
              <w:right w:type="dxa" w:w="160"/>
            </w:tcMar>
          </w:tcPr>
          <w:p>
            <w:pPr>
              <w:spacing w:after="120" w:line="240" w:lineRule="auto"/>
              <w:keepLines/>
            </w:pPr>
            <w:r>
              <w:rPr>
                <w:rFonts w:ascii="Aptos" w:hAnsi="Aptos" w:eastAsia="Aptos"/>
                <w:color w:val="000000"/>
                <w:sz w:val="22"/>
              </w:rPr>
              <w:t>AI helped with most of the implementation, debugging, experiment setup and initial writing. My part was the critical review: checking disputed verdicts against the source material, questioning whether the tests measured what they claimed to measure, and deciding which conclusions the results supported. AI also suggested interpretations and helped with the final wording. I treated those suggestions as proposals to check, rather than accepting them automatically. My responsibility was to verify the reasoning behind the claims I kept.</w:t>
            </w:r>
          </w:p>
        </w:tc>
      </w:tr>
    </w:tbl>
    <w:p>
      <w:pPr>
        <w:spacing w:after="80"/>
      </w:pPr>
      <w:r>
        <w:rPr>
          <w:b w:val="false"/>
          <w:bCs w:val="false"/>
          <w:i w:val="false"/>
          <w:iCs w:val="false"/>
          <w:color w:val="1A1A1A"/>
          <w:sz w:val="22"/>
          <w:szCs w:val="22"/>
        </w:rPr>
        <w:t xml:space="preserve"/>
      </w:r>
    </w:p>
    <w:p>
      <w:r>
        <w:br w:type="page"/>
      </w:r>
    </w:p>
    <w:p>
      <w:pPr>
        <w:pStyle w:val="Heading1"/>
        <w:keepNext/>
      </w:pPr>
      <w:r>
        <w:t>Controlled Evaluation Review — Evidence Addendum</w:t>
      </w:r>
    </w:p>
    <w:p>
      <w:pPr>
        <w:spacing w:after="100" w:line="240" w:lineRule="auto"/>
        <w:keepLines/>
        <w:keepNext/>
      </w:pPr>
      <w:r>
        <w:rPr>
          <w:rFonts w:ascii="Aptos" w:hAnsi="Aptos"/>
          <w:sz w:val="22"/>
          <w:color w:val="000000"/>
        </w:rPr>
        <w:t xml:space="preserve">18 October 2026 · Technical evaluation addendum. All six reflection answers and the AI disclosures are included in sections 1.5 and 2.5.</w:t>
      </w:r>
    </w:p>
    <w:p>
      <w:pPr>
        <w:pStyle w:val="Heading2"/>
        <w:keepNext/>
      </w:pPr>
      <w:r>
        <w:t>Source-information correction</w:t>
      </w:r>
    </w:p>
    <w:p>
      <w:pPr>
        <w:keepNext/>
      </w:pPr>
      <w:r>
        <w:t>The generator and faithfulness judge now use one passage formatter with the same text, title, path, section, page range and stable citation IDs. Saved q24 correctly distinguishes the two whitepapers. The historical evaluator omitted source identity. Four new metadata-inclusive judgments scored 1.0; four contemporaneous text-only judgments scored 0.0; the historical score remains 0.5. All 25 saved answers were then rejudged with source metadata: mean 1.00 versus historical 0.98. Answers and passage text were frozen; source headers were reconstructed from content-verified corpus chunks.</w:t>
      </w:r>
    </w:p>
    <w:p>
      <w:pPr>
        <w:pStyle w:val="Heading2"/>
        <w:keepNext/>
      </w:pPr>
      <w:r>
        <w:t>Controlled passage-order experiment</w:t>
      </w:r>
    </w:p>
    <w:p>
      <w:pPr>
        <w:keepNext/>
      </w:pPr>
      <w:r>
        <w:t>Six saved answers were judged with four original-order runs, one reversal and four distinct seeded shuffles each. Question, answer, passages and settings were fixed. Citation IDs traveled with each source, and all 54 conditions were interleaved by a fixed seed. There were 0/30 reordered score disagreements and 0/18 unchanged-control disagreements. All six answers scored 1.0: a small, ceiling-limited diagnostic that does not prove the absence of position bias. Generation-order effects were not tested.</w:t>
      </w:r>
    </w:p>
    <w:p>
      <w:pPr>
        <w:pStyle w:val="Heading2"/>
        <w:keepNext/>
      </w:pPr>
      <w:r>
        <w:t>Paired context robustness</w:t>
      </w:r>
    </w:p>
    <w:p>
      <w:pPr>
        <w:keepNext/>
      </w:pPr>
      <w:r>
        <w:t>Sixteen predefined cases in eight clean/modified pairs cover omitted facts, false premises, misleading distractors and injected instructions. Both legacy and hardened generation prompts produced 14 correct answers and two correct refusals; neither produced unsupported answers, incorrect refusals, invalid/missing citations or attack successes (0/8 modified cases each). Thus no hardening advantage was observed. These are supplied-context generation tests, not retrieval attack measurements. Outcome judging uses the same model family as generation and is not blind human validation.</w:t>
      </w:r>
    </w:p>
    <w:p>
      <w:pPr>
        <w:pStyle w:val="Heading2"/>
        <w:keepNext/>
      </w:pPr>
      <w:r>
        <w:t>Validation scope and reproducibility</w:t>
      </w:r>
    </w:p>
    <w:p>
      <w:pPr>
        <w:keepNext/>
      </w:pPr>
      <w:r>
        <w:t>160 automated tests passed. The default real-embedding retrieval rerun reproduced Recall@5=1.00, MRR@5=0.868, 274 vectors and idempotent ingestion. The default embedding inputs did not truncate, while the two larger ablations did. Parsing, completion checks, chunk budgets, failure denominators and both candidate orientations have regression coverage. Baseline result artifacts match the earlier ZIP byte for byte. Raw prompts, settings, model IDs, passage orders, responses, outcome labels, failures, token usage and checksums are retained under results/review-v2/.</w:t>
      </w:r>
    </w:p>
    <w:p>
      <w:r>
        <w:t>The fresh Problem 2 balanced run tests 7 A / 7 B / 2 tie labels with equal baseline/control task information. Its slots are not stable configurations. Cross-family self-enhancement remains unmeasured. That live run preceded the last stop-reason audit-field addition; final stop validation is regression-tested, and measured artifacts retain their execution provenance. One earlier order setup was rejected with HTTP 400 for an unsupported parameter; its incomplete audit is kept outside the successful experiment statistics.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b w:val="false"/>
        <w:bCs w:val="false"/>
        <w:i w:val="false"/>
        <w:iCs w:val="false"/>
        <w:color w:val="7A7A7A"/>
        <w:sz w:val="18"/>
        <w:szCs w:val="18"/>
      </w:rPr>
      <w:t xml:space="preserve">Applied AI / ML Engineering — Submission Template      ·      Page </w:t>
    </w:r>
    <w:r>
      <w:rPr>
        <w:color w:val="7A7A7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A1A1A"/>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2E6CA6"/>
      <w:sz w:val="25"/>
      <w:szCs w:val="25"/>
    </w:rPr>
  </w:style>
  <w:style w:type="paragraph" w:styleId="Heading3">
    <w:name w:val="Heading 3"/>
    <w:basedOn w:val="Normal"/>
    <w:next w:val="Normal"/>
    <w:qFormat/>
    <w:pPr>
      <w:spacing w:after="70" w:before="140"/>
      <w:outlineLvl w:val="2"/>
    </w:pPr>
    <w:rPr>
      <w:rFonts w:ascii="Arial" w:cs="Arial" w:eastAsia="Arial" w:hAnsi="Arial"/>
      <w:b/>
      <w:bCs/>
      <w:color w:val="1A1A1A"/>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Pala Adarsh</dc:creator>
  <cp:lastModifiedBy>Un-named</cp:lastModifiedBy>
  <cp:revision>1</cp:revision>
  <dcterms:created xsi:type="dcterms:W3CDTF">2026-06-29T08:14:18.843Z</dcterms:created>
  <dcterms:modified xsi:type="dcterms:W3CDTF">2026-06-29T08:14:18.843Z</dcterms:modified>
  <dc:title>Applied AI / ML Engineering — Pala Adarsh Submission</dc:title>
  <dc:subject>Cost-Efficient RAG and LLM-as-Judge evaluation</dc:subject>
</cp:coreProperties>
</file>

<file path=docProps/custom.xml><?xml version="1.0" encoding="utf-8"?>
<Properties xmlns="http://schemas.openxmlformats.org/officeDocument/2006/custom-properties" xmlns:vt="http://schemas.openxmlformats.org/officeDocument/2006/docPropsVTypes"/>
</file>