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Cs/>
        </w:rPr>
        <w:t xml:space="preserve">Latin neighbour stays regular.</w:t>
      </w:r>
    </w:p>
    <w:p>
      <w:r>
        <w:rPr>
          <w:bCs/>
        </w:rPr>
        <w:t xml:space="preserve">العربية مخطوطة واضحة</w:t>
      </w:r>
    </w:p>
    <w:p>
      <w:r>
        <w:rPr>
          <w:sz w:val="20"/>
          <w:szCs w:val="40"/>
        </w:rPr>
        <w:t xml:space="preserve">العربية مخطوطة واضحة</w:t>
      </w:r>
    </w:p>
    <w:p>
      <w:r>
        <w:rPr>
          <w:rFonts w:ascii="Georgia" w:cs="Arial"/>
        </w:rPr>
        <w:t xml:space="preserve">العربية مخطوطة واضحة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eastAsia="Georgia" w:cs="Georgia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