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strategie di monetizzazione e i prossimi traguardi operativi di </w:t>
      </w:r>
      <w:r w:rsidDel="00000000" w:rsidR="00000000" w:rsidRPr="00000000">
        <w:rPr>
          <w:b w:val="1"/>
          <w:bCs w:val="1"/>
          <w:rtl w:val="0"/>
        </w:rPr>
        <w:t xml:space="preserve">Phantom Architecture</w:t>
      </w:r>
      <w:r w:rsidDel="00000000" w:rsidR="00000000" w:rsidRPr="00000000">
        <w:rPr>
          <w:rtl w:val="0"/>
        </w:rPr>
        <w:t xml:space="preserve"> si articolano come segue: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5qx1s48qt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Strategie di Monetizzazione e Capitalizzazione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sostenibilità finanziaria e la crescita del progetto si basano su </w:t>
      </w:r>
      <w:r w:rsidDel="00000000" w:rsidR="00000000" w:rsidRPr="00000000">
        <w:rPr>
          <w:b w:val="1"/>
          <w:bCs w:val="1"/>
          <w:rtl w:val="0"/>
        </w:rPr>
        <w:t xml:space="preserve">quattro vettori fondamentali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Grant Non Diluitivi (Non-Dilutive Grants)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Emergent Ventures Grant</w:t>
      </w:r>
      <w:r w:rsidDel="00000000" w:rsidR="00000000" w:rsidRPr="00000000">
        <w:rPr>
          <w:rtl w:val="0"/>
        </w:rPr>
        <w:t xml:space="preserve">: Rappresenta il target immediato primario ($10.000–$50.000 con tempi di risposta di 14–21 giorni). Viene presentato come un'infrastruttura web semantica aperta per democratizzare l'accesso ai dati e ridurre il consumo energetico dell'IA.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NSF SBIR Phase I</w:t>
      </w:r>
      <w:r w:rsidDel="00000000" w:rsidR="00000000" w:rsidRPr="00000000">
        <w:rPr>
          <w:rtl w:val="0"/>
        </w:rPr>
        <w:t xml:space="preserve">: Finanziamento target da $305.000.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Hackathon per Agenti IA (AI Agent Hackathons)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Partecipazione a competizioni con montepremi dedicati, tra cui </w:t>
      </w:r>
      <w:r w:rsidDel="00000000" w:rsidR="00000000" w:rsidRPr="00000000">
        <w:rPr>
          <w:b w:val="1"/>
          <w:bCs w:val="1"/>
          <w:rtl w:val="0"/>
        </w:rPr>
        <w:t xml:space="preserve">Lablab.ai</w:t>
      </w:r>
      <w:r w:rsidDel="00000000" w:rsidR="00000000" w:rsidRPr="00000000">
        <w:rPr>
          <w:rtl w:val="0"/>
        </w:rPr>
        <w:t xml:space="preserve"> ($10k–$30k), </w:t>
      </w:r>
      <w:r w:rsidDel="00000000" w:rsidR="00000000" w:rsidRPr="00000000">
        <w:rPr>
          <w:b w:val="1"/>
          <w:bCs w:val="1"/>
          <w:rtl w:val="0"/>
        </w:rPr>
        <w:t xml:space="preserve">Devpost Sprint</w:t>
      </w:r>
      <w:r w:rsidDel="00000000" w:rsidR="00000000" w:rsidRPr="00000000">
        <w:rPr>
          <w:rtl w:val="0"/>
        </w:rPr>
        <w:t xml:space="preserve"> ($25k) ed </w:t>
      </w:r>
      <w:r w:rsidDel="00000000" w:rsidR="00000000" w:rsidRPr="00000000">
        <w:rPr>
          <w:b w:val="1"/>
          <w:bCs w:val="1"/>
          <w:rtl w:val="0"/>
        </w:rPr>
        <w:t xml:space="preserve">ETHGlobal Agentic Web</w:t>
      </w:r>
      <w:r w:rsidDel="00000000" w:rsidR="00000000" w:rsidRPr="00000000">
        <w:rPr>
          <w:rtl w:val="0"/>
        </w:rPr>
        <w:t xml:space="preserve"> (pool da $20k–$100k). Phantom sfrutta il proprio vantaggio operativo superando i limiti di rate-limiting e di budget token che bloccano i framework tradizionali come Playwright o Selenium.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Bug Bounty Diretti (Direct Bug Bounties)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Monetizzazione diretta tramite il bypass automatizzato di Web Application Firewall (WAF) e sfide JS/CAPTCHA su piattaforme come </w:t>
      </w:r>
      <w:r w:rsidDel="00000000" w:rsidR="00000000" w:rsidRPr="00000000">
        <w:rPr>
          <w:b w:val="1"/>
          <w:bCs w:val="1"/>
          <w:rtl w:val="0"/>
        </w:rPr>
        <w:t xml:space="preserve">Standoff 365 (PT WAF)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 tramite HackerOne.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e Mining su Piattaforme (Platform Mining)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Utilizzo di scraper ad alta efficienza per raccogliere in tempo reale opportunità da elenchi di finanziamento (</w:t>
      </w:r>
      <w:r w:rsidDel="00000000" w:rsidR="00000000" w:rsidRPr="00000000">
        <w:rPr>
          <w:b w:val="1"/>
          <w:bCs w:val="1"/>
          <w:rtl w:val="0"/>
        </w:rPr>
        <w:t xml:space="preserve">F6S</w:t>
      </w:r>
      <w:r w:rsidDel="00000000" w:rsidR="00000000" w:rsidRPr="00000000">
        <w:rPr>
          <w:rtl w:val="0"/>
        </w:rPr>
        <w:t xml:space="preserve">) e portali di appalti pubblici (</w:t>
      </w:r>
      <w:r w:rsidDel="00000000" w:rsidR="00000000" w:rsidRPr="00000000">
        <w:rPr>
          <w:b w:val="1"/>
          <w:bCs w:val="1"/>
          <w:rtl w:val="0"/>
        </w:rPr>
        <w:t xml:space="preserve">SAM.gov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vv43vt0hd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Prossimi Traguardi Operativi (Roadmap a 60 Giorni)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sviluppo e la distribuzione del sistema per i primi 60 giorni sono suddivisi in </w:t>
      </w:r>
      <w:r w:rsidDel="00000000" w:rsidR="00000000" w:rsidRPr="00000000">
        <w:rPr>
          <w:b w:val="1"/>
          <w:bCs w:val="1"/>
          <w:rtl w:val="0"/>
        </w:rPr>
        <w:t xml:space="preserve">tre fasi chiave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Giorni 1–15 (Packaging e Containerizzazione)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Impacchettamento di Phantom in una libreria </w:t>
      </w:r>
      <w:r w:rsidDel="00000000" w:rsidR="00000000" w:rsidRPr="00000000">
        <w:rPr>
          <w:b w:val="1"/>
          <w:bCs w:val="1"/>
          <w:rtl w:val="0"/>
        </w:rPr>
        <w:t xml:space="preserve">PyPI</w:t>
      </w:r>
      <w:r w:rsidDel="00000000" w:rsidR="00000000" w:rsidRPr="00000000">
        <w:rPr>
          <w:rtl w:val="0"/>
        </w:rPr>
        <w:t xml:space="preserve"> open-source.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Creazione di un container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leggero per il deployment multi-regione su Fly.io.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Giorni 16–35 (Suite di Benchmark Pubblica e SDK)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Rilascio di un report di benchmark pubblico che dimostra le prestazioni del DOM grezzo rispetto ad AOM Distiller su </w:t>
      </w:r>
      <w:r w:rsidDel="00000000" w:rsidR="00000000" w:rsidRPr="00000000">
        <w:rPr>
          <w:b w:val="1"/>
          <w:bCs w:val="1"/>
          <w:rtl w:val="0"/>
        </w:rPr>
        <w:t xml:space="preserve">10.000 pagine reali</w:t>
      </w:r>
      <w:r w:rsidDel="00000000" w:rsidR="00000000" w:rsidRPr="00000000">
        <w:rPr>
          <w:rtl w:val="0"/>
        </w:rPr>
        <w:t xml:space="preserve"> utilizzando Llama 3 e Mistral.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Giorni 36–60 (Rollout per Sviluppatori e Ricerca)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Rilascio di </w:t>
      </w:r>
      <w:r w:rsidDel="00000000" w:rsidR="00000000" w:rsidRPr="00000000">
        <w:rPr>
          <w:b w:val="1"/>
          <w:bCs w:val="1"/>
          <w:rtl w:val="0"/>
        </w:rPr>
        <w:t xml:space="preserve">API gratuite per sviluppatori</w:t>
      </w:r>
      <w:r w:rsidDel="00000000" w:rsidR="00000000" w:rsidRPr="00000000">
        <w:rPr>
          <w:rtl w:val="0"/>
        </w:rPr>
        <w:t xml:space="preserve"> (free-tier).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Integrazione plug-and-play con i principali framework per agenti IA, quali </w:t>
      </w:r>
      <w:r w:rsidDel="00000000" w:rsidR="00000000" w:rsidRPr="00000000">
        <w:rPr>
          <w:b w:val="1"/>
          <w:bCs w:val="1"/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LlamaIndex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AutoGen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Vuoi analizzare nel dettaglio l'impatto economico del risparmio di token (Token Economics) o approfondire la struttura dei costi per scala di utilizzo?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