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USD en la siguiente cuenta: 2015678901, Banco ABC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CLP en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